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B0BF" w14:textId="77777777" w:rsidR="00CC1C6C" w:rsidRPr="009854B7" w:rsidRDefault="00CC1C6C" w:rsidP="00CC1C6C">
      <w:pPr>
        <w:rPr>
          <w:rFonts w:asciiTheme="minorHAnsi" w:hAnsiTheme="minorHAnsi" w:cstheme="minorHAnsi"/>
          <w:sz w:val="22"/>
          <w:szCs w:val="22"/>
          <w:lang w:eastAsia="en-US"/>
        </w:rPr>
      </w:pPr>
    </w:p>
    <w:tbl>
      <w:tblPr>
        <w:tblW w:w="13943" w:type="dxa"/>
        <w:tblInd w:w="-577" w:type="dxa"/>
        <w:tblCellMar>
          <w:left w:w="0" w:type="dxa"/>
          <w:right w:w="0" w:type="dxa"/>
        </w:tblCellMar>
        <w:tblLook w:val="04A0" w:firstRow="1" w:lastRow="0" w:firstColumn="1" w:lastColumn="0" w:noHBand="0" w:noVBand="1"/>
      </w:tblPr>
      <w:tblGrid>
        <w:gridCol w:w="536"/>
        <w:gridCol w:w="1686"/>
        <w:gridCol w:w="7210"/>
        <w:gridCol w:w="4511"/>
      </w:tblGrid>
      <w:tr w:rsidR="00CC1C6C" w:rsidRPr="009854B7" w14:paraId="077FFACF"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37688E" w14:textId="77777777"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L.p.</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2C8E7" w14:textId="77777777"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Autor uwagi</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24465" w14:textId="77777777"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Treść uwagi</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96C7E8" w14:textId="2269AA20"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 xml:space="preserve">Odpowiedź autora </w:t>
            </w:r>
            <w:r w:rsidR="00F3623A" w:rsidRPr="009854B7">
              <w:rPr>
                <w:rFonts w:asciiTheme="minorHAnsi" w:hAnsiTheme="minorHAnsi" w:cstheme="minorHAnsi"/>
                <w:sz w:val="22"/>
                <w:szCs w:val="22"/>
                <w:lang w:eastAsia="en-US"/>
              </w:rPr>
              <w:t xml:space="preserve">strategii </w:t>
            </w:r>
          </w:p>
        </w:tc>
      </w:tr>
      <w:tr w:rsidR="00CC1C6C" w:rsidRPr="009854B7" w14:paraId="0C514A2F" w14:textId="77777777" w:rsidTr="007A386C">
        <w:tc>
          <w:tcPr>
            <w:tcW w:w="5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769FCF4" w14:textId="173F96D4"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1</w:t>
            </w:r>
          </w:p>
        </w:tc>
        <w:tc>
          <w:tcPr>
            <w:tcW w:w="168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81A1652" w14:textId="1936D720" w:rsidR="00CC1C6C" w:rsidRPr="009854B7" w:rsidRDefault="00FB0997">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 xml:space="preserve">Wody Polskie </w:t>
            </w:r>
          </w:p>
        </w:tc>
        <w:tc>
          <w:tcPr>
            <w:tcW w:w="721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1972C92" w14:textId="77777777" w:rsidR="00FB0997" w:rsidRPr="009854B7" w:rsidRDefault="00FB0997" w:rsidP="00FB0997">
            <w:pPr>
              <w:pStyle w:val="Default"/>
              <w:rPr>
                <w:rFonts w:asciiTheme="minorHAnsi" w:hAnsiTheme="minorHAnsi" w:cstheme="minorHAnsi"/>
                <w:sz w:val="22"/>
                <w:szCs w:val="22"/>
              </w:rPr>
            </w:pPr>
            <w:r w:rsidRPr="009854B7">
              <w:rPr>
                <w:rFonts w:asciiTheme="minorHAnsi" w:hAnsiTheme="minorHAnsi" w:cstheme="minorHAnsi"/>
                <w:sz w:val="22"/>
                <w:szCs w:val="22"/>
              </w:rPr>
              <w:t xml:space="preserve"> Uprzejmie informuję, że zgodnie z mapami zagrożenia powodziowego, o których mowa w art. 169 ustawy z dnia 20 lipca 2017 r. Prawo wodne (Dz.U. z 2021 r., poz. 624 ze zm.- dalej Prawo wodne) ustalono, że obszar gminy Suchy Las, znajduje się: </w:t>
            </w:r>
          </w:p>
          <w:p w14:paraId="0F95B6A8" w14:textId="77777777" w:rsidR="00FB0997" w:rsidRPr="009854B7" w:rsidRDefault="00FB0997" w:rsidP="00FB0997">
            <w:pPr>
              <w:pStyle w:val="Default"/>
              <w:spacing w:after="56"/>
              <w:rPr>
                <w:rFonts w:asciiTheme="minorHAnsi" w:hAnsiTheme="minorHAnsi" w:cstheme="minorHAnsi"/>
                <w:sz w:val="22"/>
                <w:szCs w:val="22"/>
              </w:rPr>
            </w:pPr>
            <w:r w:rsidRPr="009854B7">
              <w:rPr>
                <w:rFonts w:asciiTheme="minorHAnsi" w:hAnsiTheme="minorHAnsi" w:cstheme="minorHAnsi"/>
                <w:sz w:val="22"/>
                <w:szCs w:val="22"/>
              </w:rPr>
              <w:t xml:space="preserve">a) częściowo na obszarze szczególnego zagrożenia powodzią, w rozumieniu art. 16 pkt 34) lit. a) Prawa wodnego, tj. obszarze, na którym prawdopodobieństwo wystąpienia powodzi jest średnie i wynosi raz na 100 lat (p=1%), </w:t>
            </w:r>
          </w:p>
          <w:p w14:paraId="7D8D07CB" w14:textId="77777777" w:rsidR="00FB0997" w:rsidRPr="009854B7" w:rsidRDefault="00FB0997" w:rsidP="00FB0997">
            <w:pPr>
              <w:pStyle w:val="Default"/>
              <w:spacing w:after="56"/>
              <w:rPr>
                <w:rFonts w:asciiTheme="minorHAnsi" w:hAnsiTheme="minorHAnsi" w:cstheme="minorHAnsi"/>
                <w:sz w:val="22"/>
                <w:szCs w:val="22"/>
              </w:rPr>
            </w:pPr>
            <w:r w:rsidRPr="009854B7">
              <w:rPr>
                <w:rFonts w:asciiTheme="minorHAnsi" w:hAnsiTheme="minorHAnsi" w:cstheme="minorHAnsi"/>
                <w:sz w:val="22"/>
                <w:szCs w:val="22"/>
              </w:rPr>
              <w:t xml:space="preserve">b) częściowo na obszarze szczególnego zagrożenia powodzią, w rozumieniu art. 16 pkt 34) lit. b) Prawa wodnego, tj. obszarze, na którym prawdopodobieństwo wystąpienia powodzi jest wysokie i wynosi p=10%, </w:t>
            </w:r>
          </w:p>
          <w:p w14:paraId="267102DD" w14:textId="77777777" w:rsidR="00FB0997" w:rsidRPr="009854B7" w:rsidRDefault="00FB0997" w:rsidP="00FB0997">
            <w:pPr>
              <w:pStyle w:val="Default"/>
              <w:spacing w:after="56"/>
              <w:rPr>
                <w:rFonts w:asciiTheme="minorHAnsi" w:hAnsiTheme="minorHAnsi" w:cstheme="minorHAnsi"/>
                <w:sz w:val="22"/>
                <w:szCs w:val="22"/>
              </w:rPr>
            </w:pPr>
            <w:r w:rsidRPr="009854B7">
              <w:rPr>
                <w:rFonts w:asciiTheme="minorHAnsi" w:hAnsiTheme="minorHAnsi" w:cstheme="minorHAnsi"/>
                <w:sz w:val="22"/>
                <w:szCs w:val="22"/>
              </w:rPr>
              <w:t xml:space="preserve">c) częściowo na obszarze, na którym prawdopodobieństwo wystąpienia powodzi jest niskie i wynosi raz na 500 lat (p=0,2%), </w:t>
            </w:r>
          </w:p>
          <w:p w14:paraId="5887A589" w14:textId="77777777" w:rsidR="00FB0997" w:rsidRPr="009854B7" w:rsidRDefault="00FB0997" w:rsidP="00FB0997">
            <w:pPr>
              <w:pStyle w:val="Default"/>
              <w:spacing w:after="56"/>
              <w:rPr>
                <w:rFonts w:asciiTheme="minorHAnsi" w:hAnsiTheme="minorHAnsi" w:cstheme="minorHAnsi"/>
                <w:sz w:val="22"/>
                <w:szCs w:val="22"/>
              </w:rPr>
            </w:pPr>
            <w:r w:rsidRPr="009854B7">
              <w:rPr>
                <w:rFonts w:asciiTheme="minorHAnsi" w:hAnsiTheme="minorHAnsi" w:cstheme="minorHAnsi"/>
                <w:sz w:val="22"/>
                <w:szCs w:val="22"/>
              </w:rPr>
              <w:t xml:space="preserve">d) poza obszarem szczególnego zagrożenia powodzią, w rozumieniu art. 16 pkt 34) lit. c) Prawa wodnego, tj. obszarem między linią brzegu a wałem przeciwpowodziowym lub naturalnym wysokim brzegiem, w który wbudowano trasę wału. </w:t>
            </w:r>
          </w:p>
          <w:p w14:paraId="66E65D06" w14:textId="295DC251" w:rsidR="00FB0997" w:rsidRPr="009854B7" w:rsidRDefault="00FB0997" w:rsidP="00FB0997">
            <w:pPr>
              <w:pStyle w:val="Default"/>
              <w:rPr>
                <w:rFonts w:asciiTheme="minorHAnsi" w:hAnsiTheme="minorHAnsi" w:cstheme="minorHAnsi"/>
                <w:sz w:val="22"/>
                <w:szCs w:val="22"/>
              </w:rPr>
            </w:pPr>
            <w:r w:rsidRPr="009854B7">
              <w:rPr>
                <w:rFonts w:asciiTheme="minorHAnsi" w:hAnsiTheme="minorHAnsi" w:cstheme="minorHAnsi"/>
                <w:sz w:val="22"/>
                <w:szCs w:val="22"/>
              </w:rPr>
              <w:t xml:space="preserve">e) poza obszarem obejmującym tereny narażone na zalanie w przypadku całkowitego zniszczenia wału przeciwpowodziowego. </w:t>
            </w:r>
          </w:p>
          <w:p w14:paraId="0CF4680F" w14:textId="5BB96D75" w:rsidR="00FB0997" w:rsidRPr="009854B7" w:rsidRDefault="00FB0997" w:rsidP="00FB0997">
            <w:pPr>
              <w:pStyle w:val="Default"/>
              <w:rPr>
                <w:rFonts w:asciiTheme="minorHAnsi" w:hAnsiTheme="minorHAnsi" w:cstheme="minorHAnsi"/>
                <w:sz w:val="22"/>
                <w:szCs w:val="22"/>
              </w:rPr>
            </w:pPr>
            <w:r w:rsidRPr="009854B7">
              <w:rPr>
                <w:rFonts w:asciiTheme="minorHAnsi" w:hAnsiTheme="minorHAnsi" w:cstheme="minorHAnsi"/>
                <w:sz w:val="22"/>
                <w:szCs w:val="22"/>
              </w:rPr>
              <w:t>Sugeruje się dodanie informacji o położeniu zachodniej części gminy na obszarze szczególnego zagrożenia powodzią którym prawdopodobieństwo jest średnie i wynosi raz na 100 lat oraz na którym prawdopodobieństwo jest wysokie i wynosi raz na 10 lat, a także częściowo na obszarze, na którym prawdopodobieństwo wystąpienia powodzi jest niskie i wynosi raz na 500 lat.</w:t>
            </w:r>
          </w:p>
          <w:p w14:paraId="4BD74764" w14:textId="77777777" w:rsidR="00CC1C6C" w:rsidRPr="009854B7" w:rsidRDefault="00CC1C6C" w:rsidP="00F3623A">
            <w:pPr>
              <w:jc w:val="both"/>
              <w:rPr>
                <w:rFonts w:asciiTheme="minorHAnsi" w:hAnsiTheme="minorHAnsi" w:cstheme="minorHAnsi"/>
                <w:sz w:val="22"/>
                <w:szCs w:val="22"/>
                <w:lang w:eastAsia="en-US"/>
              </w:rPr>
            </w:pPr>
          </w:p>
        </w:tc>
        <w:tc>
          <w:tcPr>
            <w:tcW w:w="45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CDAADFB" w14:textId="45DAB966" w:rsidR="00CC1C6C" w:rsidRPr="009854B7" w:rsidRDefault="00101662">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Dodano do strategii (opis </w:t>
            </w:r>
            <w:r w:rsidR="0070144F">
              <w:rPr>
                <w:rFonts w:asciiTheme="minorHAnsi" w:hAnsiTheme="minorHAnsi" w:cstheme="minorHAnsi"/>
                <w:sz w:val="22"/>
                <w:szCs w:val="22"/>
                <w:lang w:eastAsia="en-US"/>
              </w:rPr>
              <w:t>kierunku działań</w:t>
            </w:r>
            <w:r>
              <w:rPr>
                <w:rFonts w:asciiTheme="minorHAnsi" w:hAnsiTheme="minorHAnsi" w:cstheme="minorHAnsi"/>
                <w:sz w:val="22"/>
                <w:szCs w:val="22"/>
                <w:lang w:eastAsia="en-US"/>
              </w:rPr>
              <w:t xml:space="preserve"> 3.2) fragment nawiązujący do uwagi </w:t>
            </w:r>
          </w:p>
        </w:tc>
      </w:tr>
      <w:tr w:rsidR="00CC1C6C" w:rsidRPr="009854B7" w14:paraId="67933A31"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5E2EB3" w14:textId="162C557A"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2</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3233A8" w14:textId="74274227" w:rsidR="00CC1C6C" w:rsidRPr="009854B7" w:rsidRDefault="00FB0997">
            <w:pPr>
              <w:rPr>
                <w:rFonts w:asciiTheme="minorHAnsi" w:hAnsiTheme="minorHAnsi" w:cstheme="minorHAnsi"/>
                <w:sz w:val="22"/>
                <w:szCs w:val="22"/>
              </w:rPr>
            </w:pPr>
            <w:r w:rsidRPr="009854B7">
              <w:rPr>
                <w:rFonts w:asciiTheme="minorHAnsi" w:hAnsiTheme="minorHAnsi" w:cstheme="minorHAnsi"/>
                <w:sz w:val="22"/>
                <w:szCs w:val="22"/>
                <w:lang w:eastAsia="en-US"/>
              </w:rPr>
              <w:t>Wody Polskie</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B95DA4" w14:textId="77777777" w:rsidR="00FB0997" w:rsidRPr="009854B7" w:rsidRDefault="00FB0997" w:rsidP="00FB0997">
            <w:pPr>
              <w:pStyle w:val="Default"/>
              <w:rPr>
                <w:rFonts w:asciiTheme="minorHAnsi" w:hAnsiTheme="minorHAnsi" w:cstheme="minorHAnsi"/>
                <w:sz w:val="22"/>
                <w:szCs w:val="22"/>
              </w:rPr>
            </w:pPr>
            <w:r w:rsidRPr="009854B7">
              <w:rPr>
                <w:rFonts w:asciiTheme="minorHAnsi" w:hAnsiTheme="minorHAnsi" w:cstheme="minorHAnsi"/>
                <w:sz w:val="22"/>
                <w:szCs w:val="22"/>
              </w:rPr>
              <w:t xml:space="preserve"> Uprzejmie informuję, że na obszarach szczególnego zagrożenia powodzią, zgodnie z art. 77 ust. 1 pkt 3) lit a) oraz b) Prawa wodnego, zakazuje się m.in. gromadzenia ścieków, nawozów naturalnych, środków chemicznych, a także innych substancji mogących zanieczyścić wody. Jeżeli nie spowoduje to zagrożenia, dla jakości wód w przypadku wystąpienia powodzi, właściwy </w:t>
            </w:r>
            <w:r w:rsidRPr="009854B7">
              <w:rPr>
                <w:rFonts w:asciiTheme="minorHAnsi" w:hAnsiTheme="minorHAnsi" w:cstheme="minorHAnsi"/>
                <w:sz w:val="22"/>
                <w:szCs w:val="22"/>
              </w:rPr>
              <w:lastRenderedPageBreak/>
              <w:t xml:space="preserve">organ Wód Polskich (tj. dyrektor regionalnego zarządu gospodarki wodnej Wód Polskich), zgodnie z art. 77 ust. 3 Prawa wodnego, może, w drodze decyzji, zwolnić od wymienionych wyżej zakazów, określając warunki niezbędne dla ochrony jakości wód. </w:t>
            </w:r>
          </w:p>
          <w:p w14:paraId="2CF4C1CC" w14:textId="334A1E97" w:rsidR="00CC1C6C" w:rsidRPr="009854B7" w:rsidRDefault="00FB0997" w:rsidP="00FB0997">
            <w:pPr>
              <w:jc w:val="both"/>
              <w:rPr>
                <w:rFonts w:asciiTheme="minorHAnsi" w:eastAsia="Times New Roman" w:hAnsiTheme="minorHAnsi" w:cstheme="minorHAnsi"/>
                <w:sz w:val="22"/>
                <w:szCs w:val="22"/>
              </w:rPr>
            </w:pPr>
            <w:r w:rsidRPr="009854B7">
              <w:rPr>
                <w:rFonts w:asciiTheme="minorHAnsi" w:hAnsiTheme="minorHAnsi" w:cstheme="minorHAnsi"/>
                <w:sz w:val="22"/>
                <w:szCs w:val="22"/>
              </w:rPr>
              <w:t>Działania wymagające uzyskania pozwolenia wodnoprawnego określone są m. in. w art. 390 ustawy z dnia 20 lipca 2017 r. Prawo wodne (Dz.U. z 2021 r., poz. 624 ze zm.). Jeżeli ustawa nie stanowi inaczej, pozwolenie wodnoprawne jest wymagane m.in. na wykonanie nowych obiektów budowlanych na obszarach szczególnego zagrożenia powodzią [art. 390 ust 1. pkt 1) lit. b)] do wydania, którego organem właściwym jest Państwowe Gospodarstwo Wodne Wody Polskie.</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7C10" w14:textId="4B53D81F" w:rsidR="00CC1C6C" w:rsidRPr="009854B7" w:rsidRDefault="00947962">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Dodano do strategii (opis </w:t>
            </w:r>
            <w:r w:rsidR="0070144F">
              <w:rPr>
                <w:rFonts w:asciiTheme="minorHAnsi" w:hAnsiTheme="minorHAnsi" w:cstheme="minorHAnsi"/>
                <w:sz w:val="22"/>
                <w:szCs w:val="22"/>
                <w:lang w:eastAsia="en-US"/>
              </w:rPr>
              <w:t>kierunku działań</w:t>
            </w:r>
            <w:r>
              <w:rPr>
                <w:rFonts w:asciiTheme="minorHAnsi" w:hAnsiTheme="minorHAnsi" w:cstheme="minorHAnsi"/>
                <w:sz w:val="22"/>
                <w:szCs w:val="22"/>
                <w:lang w:eastAsia="en-US"/>
              </w:rPr>
              <w:t xml:space="preserve"> 3.2) fragment dotyczący stosowania przepisów prawa wodnego</w:t>
            </w:r>
          </w:p>
        </w:tc>
      </w:tr>
      <w:tr w:rsidR="00CC1C6C" w:rsidRPr="009854B7" w14:paraId="6856D58D"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622495" w14:textId="664B7AC8"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3</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2471" w14:textId="5C830F46" w:rsidR="00CC1C6C" w:rsidRPr="009854B7" w:rsidRDefault="00FB0997">
            <w:pPr>
              <w:rPr>
                <w:rFonts w:asciiTheme="minorHAnsi" w:hAnsiTheme="minorHAnsi" w:cstheme="minorHAnsi"/>
                <w:sz w:val="22"/>
                <w:szCs w:val="22"/>
              </w:rPr>
            </w:pPr>
            <w:r w:rsidRPr="009854B7">
              <w:rPr>
                <w:rFonts w:asciiTheme="minorHAnsi" w:hAnsiTheme="minorHAnsi" w:cstheme="minorHAnsi"/>
                <w:sz w:val="22"/>
                <w:szCs w:val="22"/>
              </w:rPr>
              <w:t xml:space="preserve">Wody Polskie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798E89" w14:textId="77777777" w:rsidR="00FB0997" w:rsidRPr="009854B7" w:rsidRDefault="00FB0997" w:rsidP="00FB0997">
            <w:pPr>
              <w:pStyle w:val="Default"/>
              <w:rPr>
                <w:rFonts w:asciiTheme="minorHAnsi" w:hAnsiTheme="minorHAnsi" w:cstheme="minorHAnsi"/>
                <w:sz w:val="22"/>
                <w:szCs w:val="22"/>
              </w:rPr>
            </w:pPr>
            <w:r w:rsidRPr="009854B7">
              <w:rPr>
                <w:rFonts w:asciiTheme="minorHAnsi" w:hAnsiTheme="minorHAnsi" w:cstheme="minorHAnsi"/>
                <w:sz w:val="22"/>
                <w:szCs w:val="22"/>
              </w:rPr>
              <w:t xml:space="preserve">Zgodnie z art. 172 ustawy z dnia 20 lipca 2017 r. Prawo wodne (Dz. U. z 2021 r., poz. 624 ze zm.) na podstawie map zagrożenia powodziowego i map ryzyka powodziowego przygotowuje się – z uwzględnieniem podziału kraju na obszary dorzeczy oraz regiony wodne – plany zarządzania ryzykiem powodziowym (PZRP). Dokumenty te obejmują wszystkie elementy zarządzania ryzykiem powodziowym, określone w art. 163 ust. 6 przedmiotowej ustawy, w szczególności działania służące zapobieganiu powodzi, ochronie przed powodzią oraz informacji na temat stanu należytego przygotowania w przypadku wystąpienia powodzi. Głównym celem PZRP jest ograniczenie potencjalnych negatywnych skutków powodzi dla życia i zdrowia ludzi, środowiska, dziedzictwa kulturowego oraz działalności gospodarczej poprzez realizację działań służących minimalizacji zidentyfikowanych zagrożeń i obniżeniu strat powodziowych. Projekty planów zarządzania ryzykiem powodziowym przygotowują Wody Polskie w uzgodnieniu z właściwymi wojewodami oraz po zasięgnięciu opinii marszałków województw, które następnie przekazują ministrowi właściwemu do spraw gospodarki wodnej. Zapewniając aktywny udział wszystkich zainteresowanych w osiągnięciu celów zarządzania ryzykiem powodziowym, minister właściwy do spraw gospodarki wodnej co najmniej na rok przed rozpoczęciem okresu, którego dotyczą PZRP podaje do publicznej wiadomości ich projekt, w celu zgłaszania ewentualnych zastrzeżeń. Pisemne uwagi do ustaleń zawartych w opublikowanych dokumentach, zainteresowani mogą składać w terminie 6 miesięcy. Plany </w:t>
            </w:r>
            <w:r w:rsidRPr="009854B7">
              <w:rPr>
                <w:rFonts w:asciiTheme="minorHAnsi" w:hAnsiTheme="minorHAnsi" w:cstheme="minorHAnsi"/>
                <w:sz w:val="22"/>
                <w:szCs w:val="22"/>
              </w:rPr>
              <w:lastRenderedPageBreak/>
              <w:t xml:space="preserve">zarządzania ryzykiem powodziowym zostają przyjęte w drodze rozporządzenia wydanego przez ministra właściwego do spraw gospodarki wodnej. Podlegają one przeglądowi co 6 lat, a w razie potrzeby zostaje dokonana ich aktualizacja. </w:t>
            </w:r>
          </w:p>
          <w:p w14:paraId="5B5DD298" w14:textId="77777777" w:rsidR="00FB0997" w:rsidRPr="009854B7" w:rsidRDefault="00FB0997" w:rsidP="00FB0997">
            <w:pPr>
              <w:pStyle w:val="Default"/>
              <w:rPr>
                <w:rFonts w:asciiTheme="minorHAnsi" w:hAnsiTheme="minorHAnsi" w:cstheme="minorHAnsi"/>
                <w:sz w:val="22"/>
                <w:szCs w:val="22"/>
              </w:rPr>
            </w:pPr>
            <w:r w:rsidRPr="009854B7">
              <w:rPr>
                <w:rFonts w:asciiTheme="minorHAnsi" w:hAnsiTheme="minorHAnsi" w:cstheme="minorHAnsi"/>
                <w:sz w:val="22"/>
                <w:szCs w:val="22"/>
              </w:rPr>
              <w:t xml:space="preserve">Aktualnie do przedmiotowego terenu odnosi się Plan zarządzania ryzykiem powodziowym dla obszaru dorzecza Odry, zawierający w treści Plan zarządzania ryzykiem powodziowym dla regionu wodnego Warty, przyjęty Rozporządzeniem Rady Ministrów z dnia 18 października 2016 r., opublikowany w dniu 1 grudnia 2016 r. (Dz. U. poz. 1938) – dostępny w całości pod adresem: www.dziennikustaw.gov.pl/du/2016/1938. </w:t>
            </w:r>
          </w:p>
          <w:p w14:paraId="0ADD0BB9" w14:textId="3964ED3B" w:rsidR="00CC1C6C" w:rsidRPr="009854B7" w:rsidRDefault="00FB0997" w:rsidP="00FB0997">
            <w:pPr>
              <w:jc w:val="both"/>
              <w:rPr>
                <w:rFonts w:asciiTheme="minorHAnsi" w:eastAsia="Times New Roman" w:hAnsiTheme="minorHAnsi" w:cstheme="minorHAnsi"/>
                <w:sz w:val="22"/>
                <w:szCs w:val="22"/>
              </w:rPr>
            </w:pPr>
            <w:r w:rsidRPr="009854B7">
              <w:rPr>
                <w:rFonts w:asciiTheme="minorHAnsi" w:hAnsiTheme="minorHAnsi" w:cstheme="minorHAnsi"/>
                <w:sz w:val="22"/>
                <w:szCs w:val="22"/>
              </w:rPr>
              <w:t xml:space="preserve">Obecnie trwają prace nad aktualizacją Planów zarządzania ryzykiem powodziowym. Projekt </w:t>
            </w:r>
            <w:proofErr w:type="spellStart"/>
            <w:r w:rsidRPr="009854B7">
              <w:rPr>
                <w:rFonts w:asciiTheme="minorHAnsi" w:hAnsiTheme="minorHAnsi" w:cstheme="minorHAnsi"/>
                <w:sz w:val="22"/>
                <w:szCs w:val="22"/>
              </w:rPr>
              <w:t>aPZRP</w:t>
            </w:r>
            <w:proofErr w:type="spellEnd"/>
            <w:r w:rsidRPr="009854B7">
              <w:rPr>
                <w:rFonts w:asciiTheme="minorHAnsi" w:hAnsiTheme="minorHAnsi" w:cstheme="minorHAnsi"/>
                <w:sz w:val="22"/>
                <w:szCs w:val="22"/>
              </w:rPr>
              <w:t xml:space="preserve"> można znaleźć na stronie: Projekty </w:t>
            </w:r>
            <w:proofErr w:type="spellStart"/>
            <w:r w:rsidRPr="009854B7">
              <w:rPr>
                <w:rFonts w:asciiTheme="minorHAnsi" w:hAnsiTheme="minorHAnsi" w:cstheme="minorHAnsi"/>
                <w:sz w:val="22"/>
                <w:szCs w:val="22"/>
              </w:rPr>
              <w:t>aPZRP</w:t>
            </w:r>
            <w:proofErr w:type="spellEnd"/>
            <w:r w:rsidRPr="009854B7">
              <w:rPr>
                <w:rFonts w:asciiTheme="minorHAnsi" w:hAnsiTheme="minorHAnsi" w:cstheme="minorHAnsi"/>
                <w:sz w:val="22"/>
                <w:szCs w:val="22"/>
              </w:rPr>
              <w:t xml:space="preserve"> dla obszarów dorzeczy – Stop Powodzi https://stoppowodzi.pl/projekty-apzrp/.</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1777AB" w14:textId="66615111" w:rsidR="00CC1C6C" w:rsidRPr="009854B7" w:rsidRDefault="00947962">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Dodano do strategii (opis </w:t>
            </w:r>
            <w:r w:rsidR="0070144F">
              <w:rPr>
                <w:rFonts w:asciiTheme="minorHAnsi" w:hAnsiTheme="minorHAnsi" w:cstheme="minorHAnsi"/>
                <w:sz w:val="22"/>
                <w:szCs w:val="22"/>
                <w:lang w:eastAsia="en-US"/>
              </w:rPr>
              <w:t>kierunku działań</w:t>
            </w:r>
            <w:r>
              <w:rPr>
                <w:rFonts w:asciiTheme="minorHAnsi" w:hAnsiTheme="minorHAnsi" w:cstheme="minorHAnsi"/>
                <w:sz w:val="22"/>
                <w:szCs w:val="22"/>
                <w:lang w:eastAsia="en-US"/>
              </w:rPr>
              <w:t xml:space="preserve"> 3.2) fragment dotyczący stosowania zapisów aktualnego planu zarządzania ryzkiem powodziowym</w:t>
            </w:r>
          </w:p>
        </w:tc>
      </w:tr>
      <w:tr w:rsidR="00CC1C6C" w:rsidRPr="009854B7" w14:paraId="59FA451C"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1723B" w14:textId="5F5C4F15"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4</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882D69" w14:textId="1DA93ED5" w:rsidR="00CC1C6C" w:rsidRPr="009854B7" w:rsidRDefault="00FB0997">
            <w:pPr>
              <w:rPr>
                <w:rFonts w:asciiTheme="minorHAnsi" w:hAnsiTheme="minorHAnsi" w:cstheme="minorHAnsi"/>
                <w:sz w:val="22"/>
                <w:szCs w:val="22"/>
              </w:rPr>
            </w:pPr>
            <w:r w:rsidRPr="009854B7">
              <w:rPr>
                <w:rFonts w:asciiTheme="minorHAnsi" w:hAnsiTheme="minorHAnsi" w:cstheme="minorHAnsi"/>
                <w:sz w:val="22"/>
                <w:szCs w:val="22"/>
              </w:rPr>
              <w:t xml:space="preserve">Wody Polskie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843C2F" w14:textId="34B16521" w:rsidR="00FB0997" w:rsidRPr="009854B7" w:rsidRDefault="00FB0997" w:rsidP="00411CFC">
            <w:pPr>
              <w:pStyle w:val="Default"/>
              <w:rPr>
                <w:rFonts w:asciiTheme="minorHAnsi" w:hAnsiTheme="minorHAnsi" w:cstheme="minorHAnsi"/>
                <w:color w:val="auto"/>
                <w:sz w:val="22"/>
                <w:szCs w:val="22"/>
              </w:rPr>
            </w:pPr>
            <w:r w:rsidRPr="009854B7">
              <w:rPr>
                <w:rFonts w:asciiTheme="minorHAnsi" w:hAnsiTheme="minorHAnsi" w:cstheme="minorHAnsi"/>
                <w:sz w:val="22"/>
                <w:szCs w:val="22"/>
              </w:rPr>
              <w:t xml:space="preserve">Przeciwdziałanie skutkom suszy, zgodnie z art. 183 oraz 185 ustawy z dnia 20 lipca 2017 r. Prawo wodne (Dz.U. z 2021 r., poz. 624 ze zm.), prowadzi się zgodnie z planem przeciwdziałania skutkom suszy, który uwzględnia podział kraju na obszary dorzeczy. Plan przeciwdziałania skutkom suszy ma zawierać analizę możliwości powiększenia dyspozycyjnych zasobów wodnych, propozycje budowy lub przebudowy urządzeń wodnych, propozycje niezbędnych zmian w zakresie korzystania z zasobów wodnych oraz zmian naturalnej i sztucznej retencji, jak również katalog działań służących przeciwdziałaniu skutkom suszy. Projekt planu przeciwdziałania skutkom suszy przygotowują Wody Polskie w uzgodnieniu z ministrem właściwym do spraw rolnictwa, ministrem właściwym do spraw rozwoju wsi, ministrem właściwym do spraw rybołówstwa, ministrem właściwym do spraw żeglugi śródlądowej oraz wojewodami, uwzględniając podział kraju na obszary dorzeczy. Wody Polskie przekazują projekt planu przeciwdziałania skutkom suszy ministrowi właściwemu do spraw gospodarki wodnej. Minister właściwy do spraw gospodarki wodnej, zapewniając aktywny udział wszystkich zainteresowanych w przygotowywaniu oraz aktualizacji planu </w:t>
            </w:r>
            <w:r w:rsidRPr="009854B7">
              <w:rPr>
                <w:rFonts w:asciiTheme="minorHAnsi" w:hAnsiTheme="minorHAnsi" w:cstheme="minorHAnsi"/>
                <w:color w:val="auto"/>
                <w:sz w:val="22"/>
                <w:szCs w:val="22"/>
              </w:rPr>
              <w:t xml:space="preserve">przeciwdziałania skutkom suszy, podaje do publicznej wiadomości, na zasadach i w trybie określonych w przepisach ustawy z dnia 3 października 2008 r. o udostępnianiu informacji o środowisku i jego ochronie, udziale </w:t>
            </w:r>
            <w:r w:rsidRPr="009854B7">
              <w:rPr>
                <w:rFonts w:asciiTheme="minorHAnsi" w:hAnsiTheme="minorHAnsi" w:cstheme="minorHAnsi"/>
                <w:color w:val="auto"/>
                <w:sz w:val="22"/>
                <w:szCs w:val="22"/>
              </w:rPr>
              <w:lastRenderedPageBreak/>
              <w:t xml:space="preserve">społeczeństwa w ochronie środowiska oraz o ocenach oddziaływania na środowisko, w celu zgłoszenia uwag: 1) harmonogram i program prac związanych z przygotowaniem projektu planu przeciwdziałania skutkom suszy; 2) projekt planu przeciwdziałania skutkom suszy co najmniej na rok przed rozpoczęciem okresu, którego dotyczy ten plan. W terminie 6 miesięcy od dnia podania do publicznej wiadomości dokumentów, o których mowa w ust. 3 cytowanej ustawy, zainteresowani mogą składać do ministra właściwego do spraw gospodarki wodnej uwagi do ustaleń zawartych w tych dokumentach. Minister właściwy do spraw gospodarki wodnej przyjmuje i aktualizuje plan przeciwdziałania skutkom suszy, w drodze rozporządzenia, kierując się koniecznością przeciwdziałania skutkom suszy. Aktualizacji planu przeciwdziałania skutkom suszy dokonuje się nie rzadziej niż co 6 lat. </w:t>
            </w:r>
          </w:p>
          <w:p w14:paraId="7642BECD" w14:textId="470597E3" w:rsidR="00CC1C6C" w:rsidRPr="009854B7" w:rsidRDefault="00FB0997" w:rsidP="00FB0997">
            <w:pPr>
              <w:jc w:val="both"/>
              <w:rPr>
                <w:rFonts w:asciiTheme="minorHAnsi" w:eastAsia="Times New Roman" w:hAnsiTheme="minorHAnsi" w:cstheme="minorHAnsi"/>
                <w:sz w:val="22"/>
                <w:szCs w:val="22"/>
              </w:rPr>
            </w:pPr>
            <w:r w:rsidRPr="009854B7">
              <w:rPr>
                <w:rFonts w:asciiTheme="minorHAnsi" w:hAnsiTheme="minorHAnsi" w:cstheme="minorHAnsi"/>
                <w:sz w:val="22"/>
                <w:szCs w:val="22"/>
              </w:rPr>
              <w:t>3 września 2021 roku Minister właściwy ds. gospodarki wodnej opublikował rozporządzenie w sprawie przyjęcia Planu przeciwdziałania skutkom suszy (Rozporządzenie Ministra Infrastruktury z dnia 15 lipca 2021 r. w sprawie przyjęcia Planu przeciwdziałania skutkom suszy, Dz. U. z 2021 r. poz. 1615). Obowiązujący Plan przeciwdziałania skutkom suszy dostępny jest na stronie https://stopsuszy.pl/projekt-planu-przeciwdzialania-skutkom-suszy/</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9EBE5F" w14:textId="71F904DC" w:rsidR="00CC1C6C" w:rsidRPr="009854B7" w:rsidRDefault="00652932">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Dodano do strategii (opis </w:t>
            </w:r>
            <w:r w:rsidR="0070144F">
              <w:rPr>
                <w:rFonts w:asciiTheme="minorHAnsi" w:hAnsiTheme="minorHAnsi" w:cstheme="minorHAnsi"/>
                <w:sz w:val="22"/>
                <w:szCs w:val="22"/>
                <w:lang w:eastAsia="en-US"/>
              </w:rPr>
              <w:t>kierunku działań</w:t>
            </w:r>
            <w:r>
              <w:rPr>
                <w:rFonts w:asciiTheme="minorHAnsi" w:hAnsiTheme="minorHAnsi" w:cstheme="minorHAnsi"/>
                <w:sz w:val="22"/>
                <w:szCs w:val="22"/>
                <w:lang w:eastAsia="en-US"/>
              </w:rPr>
              <w:t xml:space="preserve"> 3.2) fragment dotyczący stosowania zapisów aktualnego planu przeciwdziałania skutkom suszy</w:t>
            </w:r>
          </w:p>
        </w:tc>
      </w:tr>
      <w:tr w:rsidR="00CC1C6C" w:rsidRPr="009854B7" w14:paraId="6C01A634"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2980A" w14:textId="7352C220"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5</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CF7227" w14:textId="58401EB8" w:rsidR="00CC1C6C" w:rsidRPr="009854B7" w:rsidRDefault="00FB0997">
            <w:pPr>
              <w:rPr>
                <w:rFonts w:asciiTheme="minorHAnsi" w:hAnsiTheme="minorHAnsi" w:cstheme="minorHAnsi"/>
                <w:sz w:val="22"/>
                <w:szCs w:val="22"/>
              </w:rPr>
            </w:pPr>
            <w:r w:rsidRPr="009854B7">
              <w:rPr>
                <w:rFonts w:asciiTheme="minorHAnsi" w:hAnsiTheme="minorHAnsi" w:cstheme="minorHAnsi"/>
                <w:sz w:val="22"/>
                <w:szCs w:val="22"/>
              </w:rPr>
              <w:t xml:space="preserve">Wody Polskie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59F712" w14:textId="77777777" w:rsidR="0021378D" w:rsidRPr="009854B7" w:rsidRDefault="0021378D" w:rsidP="0021378D">
            <w:pPr>
              <w:pStyle w:val="Default"/>
              <w:rPr>
                <w:rFonts w:asciiTheme="minorHAnsi" w:hAnsiTheme="minorHAnsi" w:cstheme="minorHAnsi"/>
                <w:sz w:val="22"/>
                <w:szCs w:val="22"/>
              </w:rPr>
            </w:pPr>
            <w:r w:rsidRPr="009854B7">
              <w:rPr>
                <w:rFonts w:asciiTheme="minorHAnsi" w:hAnsiTheme="minorHAnsi" w:cstheme="minorHAnsi"/>
                <w:sz w:val="22"/>
                <w:szCs w:val="22"/>
              </w:rPr>
              <w:t xml:space="preserve">Należy mieć na uwadze, że zgodnie z wytycznymi Komisji Europejskiej należy promować i w pierwszej kolejności rozważać działania zakładające naturalne metody retencji a budowanie retencji sztucznej należy traktować jako działania ostatecznego wyboru, w sytuacji, gdy przeanalizowano wszystkie możliwe warianty, bardziej korzystne ze środowiskowego punktu widzenia (zgodność z art. 68 ustawy – Prawo wodne). Planowanie nowych działań inwestycyjnych w gospodarce wodnej, kształtowanie sztucznej retencji musi być poprzedzone szeregiem analiz, a dotyczące ich warunki i procedury muszą być zgodne z aktualnie obowiązującymi przepisami środowiskowymi, jak też być adekwatne do potrzeb w zakresie kształtowania retencji. Wszelkie działania należy realizować z uwzględnieniem zapisów planów zarządzania ryzykiem powodziowym i planu przeciwdziałania skutkom suszy. </w:t>
            </w:r>
          </w:p>
          <w:p w14:paraId="57682AD4" w14:textId="77777777" w:rsidR="0021378D" w:rsidRPr="009854B7" w:rsidRDefault="0021378D" w:rsidP="0021378D">
            <w:pPr>
              <w:pStyle w:val="Default"/>
              <w:rPr>
                <w:rFonts w:asciiTheme="minorHAnsi" w:hAnsiTheme="minorHAnsi" w:cstheme="minorHAnsi"/>
                <w:sz w:val="22"/>
                <w:szCs w:val="22"/>
              </w:rPr>
            </w:pPr>
            <w:r w:rsidRPr="009854B7">
              <w:rPr>
                <w:rFonts w:asciiTheme="minorHAnsi" w:hAnsiTheme="minorHAnsi" w:cstheme="minorHAnsi"/>
                <w:sz w:val="22"/>
                <w:szCs w:val="22"/>
              </w:rPr>
              <w:t xml:space="preserve">Proponuje się, aby w ramach </w:t>
            </w:r>
            <w:r w:rsidRPr="009854B7">
              <w:rPr>
                <w:rFonts w:asciiTheme="minorHAnsi" w:hAnsiTheme="minorHAnsi" w:cstheme="minorHAnsi"/>
                <w:i/>
                <w:iCs/>
                <w:sz w:val="22"/>
                <w:szCs w:val="22"/>
              </w:rPr>
              <w:t xml:space="preserve">Celu strategicznego „3. Ochrona środowiska i adaptacja do zmian klimatu” </w:t>
            </w:r>
            <w:r w:rsidRPr="009854B7">
              <w:rPr>
                <w:rFonts w:asciiTheme="minorHAnsi" w:hAnsiTheme="minorHAnsi" w:cstheme="minorHAnsi"/>
                <w:sz w:val="22"/>
                <w:szCs w:val="22"/>
              </w:rPr>
              <w:t xml:space="preserve">uwzględnić działania odnoszące się do konieczność zachowania naturalnej zdolności retencyjnej gruntów - czynnika </w:t>
            </w:r>
            <w:r w:rsidRPr="009854B7">
              <w:rPr>
                <w:rFonts w:asciiTheme="minorHAnsi" w:hAnsiTheme="minorHAnsi" w:cstheme="minorHAnsi"/>
                <w:sz w:val="22"/>
                <w:szCs w:val="22"/>
              </w:rPr>
              <w:lastRenderedPageBreak/>
              <w:t xml:space="preserve">szczególnie istotnego w kontekście kształtowania stanu zasobów wodnych, przeciwdziałania występowaniu zjawisk ekstremalnych oraz adaptacji do zmian klimatu. Należy wskazać działania w zakresie rozwoju tzw. niebieskiej i zielonej infrastruktury w kontekście adaptacji do zmian klimatu oraz działania dot. promowania/wsparcia rozwiązań w zakresie zwiększania retencji, w tym zagospodarowania wód opadowych i roztopowych na terenie prywatnych posesji przy budynkach mieszkalnych i na terenach prywatnych przedsiębiorstw. </w:t>
            </w:r>
          </w:p>
          <w:p w14:paraId="523FF72F" w14:textId="77777777" w:rsidR="0021378D" w:rsidRPr="009854B7" w:rsidRDefault="0021378D" w:rsidP="0021378D">
            <w:pPr>
              <w:pStyle w:val="Default"/>
              <w:rPr>
                <w:rFonts w:asciiTheme="minorHAnsi" w:hAnsiTheme="minorHAnsi" w:cstheme="minorHAnsi"/>
                <w:sz w:val="22"/>
                <w:szCs w:val="22"/>
              </w:rPr>
            </w:pPr>
            <w:r w:rsidRPr="009854B7">
              <w:rPr>
                <w:rFonts w:asciiTheme="minorHAnsi" w:hAnsiTheme="minorHAnsi" w:cstheme="minorHAnsi"/>
                <w:sz w:val="22"/>
                <w:szCs w:val="22"/>
              </w:rPr>
              <w:t xml:space="preserve">Przykłady rozwiązań do zastosowania: </w:t>
            </w:r>
          </w:p>
          <w:p w14:paraId="7AFA9CB0" w14:textId="33E00110" w:rsidR="0021378D" w:rsidRPr="009854B7" w:rsidRDefault="00411CFC" w:rsidP="0021378D">
            <w:pPr>
              <w:pStyle w:val="Default"/>
              <w:spacing w:after="71"/>
              <w:rPr>
                <w:rFonts w:asciiTheme="minorHAnsi" w:hAnsiTheme="minorHAnsi" w:cstheme="minorHAnsi"/>
                <w:sz w:val="22"/>
                <w:szCs w:val="22"/>
              </w:rPr>
            </w:pPr>
            <w:r w:rsidRPr="009854B7">
              <w:rPr>
                <w:rFonts w:asciiTheme="minorHAnsi" w:hAnsiTheme="minorHAnsi" w:cstheme="minorHAnsi"/>
                <w:sz w:val="22"/>
                <w:szCs w:val="22"/>
              </w:rPr>
              <w:t>-</w:t>
            </w:r>
            <w:r w:rsidR="0021378D" w:rsidRPr="009854B7">
              <w:rPr>
                <w:rFonts w:asciiTheme="minorHAnsi" w:hAnsiTheme="minorHAnsi" w:cstheme="minorHAnsi"/>
                <w:sz w:val="22"/>
                <w:szCs w:val="22"/>
              </w:rPr>
              <w:t xml:space="preserve"> stosowanie powierzchni przepuszczalnych ze żwiru/pospółki, powierzchni ażurowych zamiast szczelnych powierzchni betonowych; </w:t>
            </w:r>
          </w:p>
          <w:p w14:paraId="7B5A0B3D" w14:textId="0EBB77EE" w:rsidR="0021378D" w:rsidRPr="009854B7" w:rsidRDefault="00411CFC" w:rsidP="0021378D">
            <w:pPr>
              <w:pStyle w:val="Default"/>
              <w:spacing w:after="71"/>
              <w:rPr>
                <w:rFonts w:asciiTheme="minorHAnsi" w:hAnsiTheme="minorHAnsi" w:cstheme="minorHAnsi"/>
                <w:sz w:val="22"/>
                <w:szCs w:val="22"/>
              </w:rPr>
            </w:pPr>
            <w:r w:rsidRPr="009854B7">
              <w:rPr>
                <w:rFonts w:asciiTheme="minorHAnsi" w:hAnsiTheme="minorHAnsi" w:cstheme="minorHAnsi"/>
                <w:sz w:val="22"/>
                <w:szCs w:val="22"/>
              </w:rPr>
              <w:t>-</w:t>
            </w:r>
            <w:r w:rsidR="0021378D" w:rsidRPr="009854B7">
              <w:rPr>
                <w:rFonts w:asciiTheme="minorHAnsi" w:hAnsiTheme="minorHAnsi" w:cstheme="minorHAnsi"/>
                <w:sz w:val="22"/>
                <w:szCs w:val="22"/>
              </w:rPr>
              <w:t xml:space="preserve"> zagospodarowanie wód opadowych i roztopowych w sposób minimalizujący utratę naturalnej retencji lub spowolniający odpływ odprowadzanych wód (np. poprzez zbiorniki </w:t>
            </w:r>
            <w:proofErr w:type="spellStart"/>
            <w:r w:rsidR="0021378D" w:rsidRPr="009854B7">
              <w:rPr>
                <w:rFonts w:asciiTheme="minorHAnsi" w:hAnsiTheme="minorHAnsi" w:cstheme="minorHAnsi"/>
                <w:sz w:val="22"/>
                <w:szCs w:val="22"/>
              </w:rPr>
              <w:t>retencyjno</w:t>
            </w:r>
            <w:proofErr w:type="spellEnd"/>
            <w:r w:rsidR="0021378D" w:rsidRPr="009854B7">
              <w:rPr>
                <w:rFonts w:asciiTheme="minorHAnsi" w:hAnsiTheme="minorHAnsi" w:cstheme="minorHAnsi"/>
                <w:sz w:val="22"/>
                <w:szCs w:val="22"/>
              </w:rPr>
              <w:t xml:space="preserve">–infiltracyjne; zastosowanie drenaży lub skrzynek rozsączających itp.); </w:t>
            </w:r>
          </w:p>
          <w:p w14:paraId="486E1460" w14:textId="68BED653" w:rsidR="0021378D" w:rsidRPr="009854B7" w:rsidRDefault="00411CFC" w:rsidP="0021378D">
            <w:pPr>
              <w:pStyle w:val="Default"/>
              <w:spacing w:after="71"/>
              <w:rPr>
                <w:rFonts w:asciiTheme="minorHAnsi" w:hAnsiTheme="minorHAnsi" w:cstheme="minorHAnsi"/>
                <w:sz w:val="22"/>
                <w:szCs w:val="22"/>
              </w:rPr>
            </w:pPr>
            <w:r w:rsidRPr="009854B7">
              <w:rPr>
                <w:rFonts w:asciiTheme="minorHAnsi" w:hAnsiTheme="minorHAnsi" w:cstheme="minorHAnsi"/>
                <w:sz w:val="22"/>
                <w:szCs w:val="22"/>
              </w:rPr>
              <w:t>-</w:t>
            </w:r>
            <w:r w:rsidR="0021378D" w:rsidRPr="009854B7">
              <w:rPr>
                <w:rFonts w:asciiTheme="minorHAnsi" w:hAnsiTheme="minorHAnsi" w:cstheme="minorHAnsi"/>
                <w:sz w:val="22"/>
                <w:szCs w:val="22"/>
              </w:rPr>
              <w:t xml:space="preserve"> sadzenie kwietnych łąk zamiast trawników; </w:t>
            </w:r>
          </w:p>
          <w:p w14:paraId="42109266" w14:textId="04C3B6A2" w:rsidR="0021378D" w:rsidRPr="009854B7" w:rsidRDefault="00411CFC" w:rsidP="0021378D">
            <w:pPr>
              <w:pStyle w:val="Default"/>
              <w:spacing w:after="71"/>
              <w:rPr>
                <w:rFonts w:asciiTheme="minorHAnsi" w:hAnsiTheme="minorHAnsi" w:cstheme="minorHAnsi"/>
                <w:sz w:val="22"/>
                <w:szCs w:val="22"/>
              </w:rPr>
            </w:pPr>
            <w:r w:rsidRPr="009854B7">
              <w:rPr>
                <w:rFonts w:asciiTheme="minorHAnsi" w:hAnsiTheme="minorHAnsi" w:cstheme="minorHAnsi"/>
                <w:sz w:val="22"/>
                <w:szCs w:val="22"/>
              </w:rPr>
              <w:t>-</w:t>
            </w:r>
            <w:r w:rsidR="0021378D" w:rsidRPr="009854B7">
              <w:rPr>
                <w:rFonts w:asciiTheme="minorHAnsi" w:hAnsiTheme="minorHAnsi" w:cstheme="minorHAnsi"/>
                <w:sz w:val="22"/>
                <w:szCs w:val="22"/>
              </w:rPr>
              <w:t xml:space="preserve"> zakładanie terenów zielonych w miastach; </w:t>
            </w:r>
          </w:p>
          <w:p w14:paraId="10CD1FA2" w14:textId="78F42876" w:rsidR="0021378D" w:rsidRPr="009854B7" w:rsidRDefault="00411CFC" w:rsidP="0021378D">
            <w:pPr>
              <w:pStyle w:val="Default"/>
              <w:rPr>
                <w:rFonts w:asciiTheme="minorHAnsi" w:hAnsiTheme="minorHAnsi" w:cstheme="minorHAnsi"/>
                <w:sz w:val="22"/>
                <w:szCs w:val="22"/>
              </w:rPr>
            </w:pPr>
            <w:r w:rsidRPr="009854B7">
              <w:rPr>
                <w:rFonts w:asciiTheme="minorHAnsi" w:hAnsiTheme="minorHAnsi" w:cstheme="minorHAnsi"/>
                <w:sz w:val="22"/>
                <w:szCs w:val="22"/>
              </w:rPr>
              <w:t>-</w:t>
            </w:r>
            <w:r w:rsidR="0021378D" w:rsidRPr="009854B7">
              <w:rPr>
                <w:rFonts w:asciiTheme="minorHAnsi" w:hAnsiTheme="minorHAnsi" w:cstheme="minorHAnsi"/>
                <w:sz w:val="22"/>
                <w:szCs w:val="22"/>
              </w:rPr>
              <w:t xml:space="preserve"> zakładanie zielonych dachów i zielonych ścian na budynkach; </w:t>
            </w:r>
          </w:p>
          <w:p w14:paraId="56D13057" w14:textId="1EA46C57" w:rsidR="0021378D" w:rsidRPr="009854B7" w:rsidRDefault="00411CFC" w:rsidP="0021378D">
            <w:pPr>
              <w:pStyle w:val="Default"/>
              <w:spacing w:after="70"/>
              <w:rPr>
                <w:rFonts w:asciiTheme="minorHAnsi" w:hAnsiTheme="minorHAnsi" w:cstheme="minorHAnsi"/>
                <w:color w:val="auto"/>
                <w:sz w:val="22"/>
                <w:szCs w:val="22"/>
              </w:rPr>
            </w:pPr>
            <w:r w:rsidRPr="009854B7">
              <w:rPr>
                <w:rFonts w:asciiTheme="minorHAnsi" w:hAnsiTheme="minorHAnsi" w:cstheme="minorHAnsi"/>
                <w:color w:val="auto"/>
                <w:sz w:val="22"/>
                <w:szCs w:val="22"/>
              </w:rPr>
              <w:t xml:space="preserve">- </w:t>
            </w:r>
            <w:r w:rsidR="0021378D" w:rsidRPr="009854B7">
              <w:rPr>
                <w:rFonts w:asciiTheme="minorHAnsi" w:hAnsiTheme="minorHAnsi" w:cstheme="minorHAnsi"/>
                <w:color w:val="auto"/>
                <w:sz w:val="22"/>
                <w:szCs w:val="22"/>
              </w:rPr>
              <w:t xml:space="preserve">zakładanie ogrodów deszczowych zasilanych deszczówką w miastach i przy domach; </w:t>
            </w:r>
          </w:p>
          <w:p w14:paraId="32386E92" w14:textId="4CB3E7A5" w:rsidR="0021378D" w:rsidRPr="009854B7" w:rsidRDefault="00411CFC" w:rsidP="0021378D">
            <w:pPr>
              <w:pStyle w:val="Default"/>
              <w:rPr>
                <w:rFonts w:asciiTheme="minorHAnsi" w:hAnsiTheme="minorHAnsi" w:cstheme="minorHAnsi"/>
                <w:color w:val="auto"/>
                <w:sz w:val="22"/>
                <w:szCs w:val="22"/>
              </w:rPr>
            </w:pPr>
            <w:r w:rsidRPr="009854B7">
              <w:rPr>
                <w:rFonts w:asciiTheme="minorHAnsi" w:hAnsiTheme="minorHAnsi" w:cstheme="minorHAnsi"/>
                <w:color w:val="auto"/>
                <w:sz w:val="22"/>
                <w:szCs w:val="22"/>
              </w:rPr>
              <w:t>-</w:t>
            </w:r>
            <w:r w:rsidR="0021378D" w:rsidRPr="009854B7">
              <w:rPr>
                <w:rFonts w:asciiTheme="minorHAnsi" w:hAnsiTheme="minorHAnsi" w:cstheme="minorHAnsi"/>
                <w:color w:val="auto"/>
                <w:sz w:val="22"/>
                <w:szCs w:val="22"/>
              </w:rPr>
              <w:t xml:space="preserve"> zakładanie oczek wodnych w przestrzeniach miejskich i w przydomowych ogrodach. </w:t>
            </w:r>
          </w:p>
          <w:p w14:paraId="295B16B0" w14:textId="2DF2751C" w:rsidR="00CC1C6C" w:rsidRPr="009854B7" w:rsidRDefault="00CC1C6C" w:rsidP="00CC1C6C">
            <w:pPr>
              <w:jc w:val="both"/>
              <w:rPr>
                <w:rFonts w:asciiTheme="minorHAnsi" w:eastAsia="Times New Roman" w:hAnsiTheme="minorHAnsi" w:cstheme="minorHAnsi"/>
                <w:sz w:val="22"/>
                <w:szCs w:val="22"/>
              </w:rPr>
            </w:pP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823395" w14:textId="1DBD85DD" w:rsidR="00CC1C6C" w:rsidRPr="009854B7" w:rsidRDefault="00652932">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Dodano do strategii (opis </w:t>
            </w:r>
            <w:r w:rsidR="0070144F">
              <w:rPr>
                <w:rFonts w:asciiTheme="minorHAnsi" w:hAnsiTheme="minorHAnsi" w:cstheme="minorHAnsi"/>
                <w:sz w:val="22"/>
                <w:szCs w:val="22"/>
                <w:lang w:eastAsia="en-US"/>
              </w:rPr>
              <w:t>kierunku działań</w:t>
            </w:r>
            <w:r>
              <w:rPr>
                <w:rFonts w:asciiTheme="minorHAnsi" w:hAnsiTheme="minorHAnsi" w:cstheme="minorHAnsi"/>
                <w:sz w:val="22"/>
                <w:szCs w:val="22"/>
                <w:lang w:eastAsia="en-US"/>
              </w:rPr>
              <w:t xml:space="preserve"> 3.2) fragment dotyczący pierwszeństwa stosowania naturalnych metod retencji oraz wspierania małych inicjatyw związanych z gospodarką wodną, realizowanych w gospodarstwach domowych</w:t>
            </w:r>
          </w:p>
        </w:tc>
      </w:tr>
      <w:tr w:rsidR="00CC1C6C" w:rsidRPr="009854B7" w14:paraId="43AAFBAD"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2E1DC3" w14:textId="36A69F32"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6</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389DC7" w14:textId="189BC173" w:rsidR="00CC1C6C" w:rsidRPr="009854B7" w:rsidRDefault="0021378D">
            <w:pPr>
              <w:rPr>
                <w:rFonts w:asciiTheme="minorHAnsi" w:hAnsiTheme="minorHAnsi" w:cstheme="minorHAnsi"/>
                <w:sz w:val="22"/>
                <w:szCs w:val="22"/>
              </w:rPr>
            </w:pPr>
            <w:r w:rsidRPr="009854B7">
              <w:rPr>
                <w:rFonts w:asciiTheme="minorHAnsi" w:hAnsiTheme="minorHAnsi" w:cstheme="minorHAnsi"/>
                <w:sz w:val="22"/>
                <w:szCs w:val="22"/>
              </w:rPr>
              <w:t xml:space="preserve">Wody Polskie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51C9F6" w14:textId="77777777" w:rsidR="00E722D6" w:rsidRPr="009854B7" w:rsidRDefault="00E722D6" w:rsidP="00E722D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W kontekście kształtowania stanu zasobów wodnych, przeciwdziałania występowaniu zjawisk ekstremalnych oraz adaptacji do zmian klimatu, Strategia powinna również uwzględniać:</w:t>
            </w:r>
          </w:p>
          <w:p w14:paraId="1EBDB970" w14:textId="4728A842" w:rsidR="00E722D6" w:rsidRPr="009854B7" w:rsidRDefault="00E722D6" w:rsidP="00E722D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wprowadzenie i egzekwowanie standardów ochrony zieleni w procesie inwestycyjnym, obejmujących m.in. ograniczenie likwidacji terenów zieleni i wycinki drzew przy realizacji nowych inwestycji;</w:t>
            </w:r>
          </w:p>
          <w:p w14:paraId="6F7FB3B5" w14:textId="0E7C0893" w:rsidR="00E722D6" w:rsidRPr="009854B7" w:rsidRDefault="00E722D6" w:rsidP="00E722D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unikanie „betonowania” miasta - stosowanie powierzchni przepuszczalnych, powierzchni ażurowych zamiast szczelnych powierzchni betonowych;</w:t>
            </w:r>
          </w:p>
          <w:p w14:paraId="111E2589" w14:textId="07B2636A" w:rsidR="00E722D6" w:rsidRPr="009854B7" w:rsidRDefault="00E722D6" w:rsidP="00E722D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lastRenderedPageBreak/>
              <w:t>- uwzględnienie ww. aspektów w planowaniu przestrzennym oraz przy wydawaniu decyzji administracyjnych, w celu ochrony terenów zieleni przed presją zabudowy i „betonowaniem” nieruchomości.</w:t>
            </w:r>
          </w:p>
          <w:p w14:paraId="4C92B922" w14:textId="77777777" w:rsidR="00E722D6" w:rsidRPr="009854B7" w:rsidRDefault="00E722D6" w:rsidP="00E722D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Zgodnie z § 6 rozporządzenia Dyrektora Regionalnego Zarządu Gospodarki Wodnej w Poznaniu z dnia 2 kwietnia 2014 r. w sprawie warunków korzystania z wód regionu wodnego Warty (</w:t>
            </w:r>
            <w:proofErr w:type="spellStart"/>
            <w:r w:rsidRPr="009854B7">
              <w:rPr>
                <w:rFonts w:asciiTheme="minorHAnsi" w:eastAsia="Times New Roman" w:hAnsiTheme="minorHAnsi" w:cstheme="minorHAnsi"/>
                <w:sz w:val="22"/>
                <w:szCs w:val="22"/>
              </w:rPr>
              <w:t>Dz.Urz.Woj.Wielkopolskiego</w:t>
            </w:r>
            <w:proofErr w:type="spellEnd"/>
            <w:r w:rsidRPr="009854B7">
              <w:rPr>
                <w:rFonts w:asciiTheme="minorHAnsi" w:eastAsia="Times New Roman" w:hAnsiTheme="minorHAnsi" w:cstheme="minorHAnsi"/>
                <w:sz w:val="22"/>
                <w:szCs w:val="22"/>
              </w:rPr>
              <w:t xml:space="preserve"> 2014.2129), zmienionego rozporządzeniem Dyrektora Regionalnego Zarządu Gospodarki Wodnej w Poznaniu z dnia 17 lipca 2017 r. zmieniającego rozporządzenie w sprawie warunków korzystania z wód regionu wodnego Warty (</w:t>
            </w:r>
            <w:proofErr w:type="spellStart"/>
            <w:r w:rsidRPr="009854B7">
              <w:rPr>
                <w:rFonts w:asciiTheme="minorHAnsi" w:eastAsia="Times New Roman" w:hAnsiTheme="minorHAnsi" w:cstheme="minorHAnsi"/>
                <w:sz w:val="22"/>
                <w:szCs w:val="22"/>
              </w:rPr>
              <w:t>Dz.Urz.Woj.Wielkopolskiego</w:t>
            </w:r>
            <w:proofErr w:type="spellEnd"/>
            <w:r w:rsidRPr="009854B7">
              <w:rPr>
                <w:rFonts w:asciiTheme="minorHAnsi" w:eastAsia="Times New Roman" w:hAnsiTheme="minorHAnsi" w:cstheme="minorHAnsi"/>
                <w:sz w:val="22"/>
                <w:szCs w:val="22"/>
              </w:rPr>
              <w:t xml:space="preserve"> 2017.5165) „ustala się wymóg ochrony naturalnej zdolności retencyjnej gruntów, zapobiegający jej nieuzasadnionemu ograniczaniu”. Jednocześnie w myśl § 12 ust. 1 ww. rozporządzenia „dopuszcza się bezpośrednie odprowadzanie wód z odwodnienia gruntów oraz wód opadowych lub roztopowych ujętych w systemy kanalizacyjne, jeżeli zastosowano rozwiązania minimalizujące utratę naturalnej retencji lub spowolniające odpływ odprowadzanych wód i przywracające w możliwym zakresie naturalny, gruntowy charakter ich odpływu”. Uwzględnienie wymogów ww. rozporządzenia w zakresie </w:t>
            </w:r>
            <w:proofErr w:type="spellStart"/>
            <w:r w:rsidRPr="009854B7">
              <w:rPr>
                <w:rFonts w:asciiTheme="minorHAnsi" w:eastAsia="Times New Roman" w:hAnsiTheme="minorHAnsi" w:cstheme="minorHAnsi"/>
                <w:sz w:val="22"/>
                <w:szCs w:val="22"/>
              </w:rPr>
              <w:t>retencjowania</w:t>
            </w:r>
            <w:proofErr w:type="spellEnd"/>
            <w:r w:rsidRPr="009854B7">
              <w:rPr>
                <w:rFonts w:asciiTheme="minorHAnsi" w:eastAsia="Times New Roman" w:hAnsiTheme="minorHAnsi" w:cstheme="minorHAnsi"/>
                <w:sz w:val="22"/>
                <w:szCs w:val="22"/>
              </w:rPr>
              <w:t xml:space="preserve"> wód oraz nacisk na rozwój niebieskiej i zielonej infrastruktury, przyczyni się do zwiększania odporności gminy na zagrożenia związane ze zmianami klimatu (susza, podtopienia, powodzie „błyskawiczne”).</w:t>
            </w:r>
          </w:p>
          <w:p w14:paraId="33D52851" w14:textId="77777777" w:rsidR="00E722D6" w:rsidRPr="009854B7" w:rsidRDefault="00E722D6" w:rsidP="00E722D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W opiniowanym projekcie dokumentu „Strategia Rozwoju Gminy Suchy Las do 2030” brakuje części dotyczącej środowiska przyrodniczego, w której zawarte byłyby informacje dotyczące ustaleń aktualizacji Planu gospodarowania wodami na obszarze dorzecza Odry (Dz.U. z 2016 r., poz. 1967) zgodnie z art. 326 ust. 1 ustawy Prawo Wodne (Dz.U. z 2021 r., </w:t>
            </w:r>
            <w:proofErr w:type="spellStart"/>
            <w:r w:rsidRPr="009854B7">
              <w:rPr>
                <w:rFonts w:asciiTheme="minorHAnsi" w:eastAsia="Times New Roman" w:hAnsiTheme="minorHAnsi" w:cstheme="minorHAnsi"/>
                <w:sz w:val="22"/>
                <w:szCs w:val="22"/>
              </w:rPr>
              <w:t>poz</w:t>
            </w:r>
            <w:proofErr w:type="spellEnd"/>
            <w:r w:rsidRPr="009854B7">
              <w:rPr>
                <w:rFonts w:asciiTheme="minorHAnsi" w:eastAsia="Times New Roman" w:hAnsiTheme="minorHAnsi" w:cstheme="minorHAnsi"/>
                <w:sz w:val="22"/>
                <w:szCs w:val="22"/>
              </w:rPr>
              <w:t xml:space="preserve"> 624 z </w:t>
            </w:r>
            <w:proofErr w:type="spellStart"/>
            <w:r w:rsidRPr="009854B7">
              <w:rPr>
                <w:rFonts w:asciiTheme="minorHAnsi" w:eastAsia="Times New Roman" w:hAnsiTheme="minorHAnsi" w:cstheme="minorHAnsi"/>
                <w:sz w:val="22"/>
                <w:szCs w:val="22"/>
              </w:rPr>
              <w:t>późn</w:t>
            </w:r>
            <w:proofErr w:type="spellEnd"/>
            <w:r w:rsidRPr="009854B7">
              <w:rPr>
                <w:rFonts w:asciiTheme="minorHAnsi" w:eastAsia="Times New Roman" w:hAnsiTheme="minorHAnsi" w:cstheme="minorHAnsi"/>
                <w:sz w:val="22"/>
                <w:szCs w:val="22"/>
              </w:rPr>
              <w:t>. zm.).</w:t>
            </w:r>
          </w:p>
          <w:p w14:paraId="13787289" w14:textId="77777777" w:rsidR="00E722D6" w:rsidRPr="009854B7" w:rsidRDefault="00E722D6" w:rsidP="00E722D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Na teranie gminy Suchy Las położone są częściowo obszary zlewni jednolitych części wód powierzchniowych rzecznych: Bogdanka (PLRW60001718578), Dopływ z Łysego Młyna (PLRW60001718594), Rów Północny (PLRW600017185956), Samica </w:t>
            </w:r>
            <w:proofErr w:type="spellStart"/>
            <w:r w:rsidRPr="009854B7">
              <w:rPr>
                <w:rFonts w:asciiTheme="minorHAnsi" w:eastAsia="Times New Roman" w:hAnsiTheme="minorHAnsi" w:cstheme="minorHAnsi"/>
                <w:sz w:val="22"/>
                <w:szCs w:val="22"/>
              </w:rPr>
              <w:t>Kierska</w:t>
            </w:r>
            <w:proofErr w:type="spellEnd"/>
            <w:r w:rsidRPr="009854B7">
              <w:rPr>
                <w:rFonts w:asciiTheme="minorHAnsi" w:eastAsia="Times New Roman" w:hAnsiTheme="minorHAnsi" w:cstheme="minorHAnsi"/>
                <w:sz w:val="22"/>
                <w:szCs w:val="22"/>
              </w:rPr>
              <w:t xml:space="preserve"> (PLRW6000231871299), Warta od Różanego Potoku do Dopływu z Uchorowa (PLRW600021185991) oraz jednolita część wód podziemnych o kodzie PLGW600060.</w:t>
            </w:r>
          </w:p>
          <w:p w14:paraId="5CA43935" w14:textId="4FB5F8F0" w:rsidR="00E722D6" w:rsidRPr="009854B7" w:rsidRDefault="00E722D6" w:rsidP="00E722D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lastRenderedPageBreak/>
              <w:t xml:space="preserve">Zgodnie z obowiązującym Planem </w:t>
            </w:r>
            <w:bookmarkStart w:id="0" w:name="_Hlk93837943"/>
            <w:r w:rsidRPr="009854B7">
              <w:rPr>
                <w:rFonts w:asciiTheme="minorHAnsi" w:eastAsia="Times New Roman" w:hAnsiTheme="minorHAnsi" w:cstheme="minorHAnsi"/>
                <w:sz w:val="22"/>
                <w:szCs w:val="22"/>
              </w:rPr>
              <w:t xml:space="preserve">jednolite części wód powierzchniowych Samica </w:t>
            </w:r>
            <w:proofErr w:type="spellStart"/>
            <w:r w:rsidRPr="009854B7">
              <w:rPr>
                <w:rFonts w:asciiTheme="minorHAnsi" w:eastAsia="Times New Roman" w:hAnsiTheme="minorHAnsi" w:cstheme="minorHAnsi"/>
                <w:sz w:val="22"/>
                <w:szCs w:val="22"/>
              </w:rPr>
              <w:t>Kierska</w:t>
            </w:r>
            <w:proofErr w:type="spellEnd"/>
            <w:r w:rsidRPr="009854B7">
              <w:rPr>
                <w:rFonts w:asciiTheme="minorHAnsi" w:eastAsia="Times New Roman" w:hAnsiTheme="minorHAnsi" w:cstheme="minorHAnsi"/>
                <w:sz w:val="22"/>
                <w:szCs w:val="22"/>
              </w:rPr>
              <w:t xml:space="preserve"> oraz Warta od Różanego Potoku do Dopływu z Uchorowa są w stanie złym, zagrożone nieosiągnięciem dobrego stanu w związku </w:t>
            </w:r>
            <w:bookmarkEnd w:id="0"/>
            <w:r w:rsidRPr="009854B7">
              <w:rPr>
                <w:rFonts w:asciiTheme="minorHAnsi" w:eastAsia="Times New Roman" w:hAnsiTheme="minorHAnsi" w:cstheme="minorHAnsi"/>
                <w:sz w:val="22"/>
                <w:szCs w:val="22"/>
              </w:rPr>
              <w:t>z czym posiadają odstępstwo czasowe od osiągnięcia przedmiotowego celu środowiskowego z uwagi na brak możliwości technicznych. Pozostałe części wód powierzchniowych (Bogdanka, Dopływ z Łysego Młyna i Rów Północny) są w stanie dobrym, nie są zagrożone ryzykiem nieosiągnięcia celu środowiskowego i nie posiadają derogacji. Jednolita część wód podziemnych PLGW600060 także jest</w:t>
            </w:r>
            <w:r w:rsidR="00327C4A"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w dobrym stanie zarówno pod względem ilościowym jak i chemicznym, nie jest zagrożona i nie posiada odstępstw od osiągnięcia celów środowiskowych. Na terenie gminy Suchy Las nie występują jeziora będące jednolitymi częściami wód powierzchniowych.</w:t>
            </w:r>
          </w:p>
          <w:p w14:paraId="0509B044" w14:textId="23338ABC" w:rsidR="00CC1C6C" w:rsidRPr="009854B7" w:rsidRDefault="00E722D6" w:rsidP="00E722D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Jednocześnie informuję, iż w okresie od 14.04.2021 do 14.10.2021r., zgodnie z art. 319 ust. 4 pkt 3 ustawy Prawo wodne, prowadzone były przez Ministra Infrastruktury konsultacje społeczne II aktualizacji planów gospodarowania wodami na obszarach dorzeczy na lata 2022-2027. Projekty planów wraz ze szczegółowymi informacjami nt. prowadzonych konsultacji społecznych dostępne są na stronie internetowej pod adresem https://apgw.gov.pl/. Z uwagi na położenie gminy Suchy Las w granicach regionu wodnego Warty, właściwym miejscowo jest projekt II aktualizacji Planu gospodarowania wodami na obszarze dorzecza Odry (https://apgw.gov.pl/pl/konsultacje-projekty-planow). W konsultowanym dokumencie, w granicach gminy Suchy Las nastąpiła zmiana w zasięgach zlewni jednolitych części wód powierzchniowych rzecznych oraz w ich kodach; wg konsultowanego projektu II aktualizacji Planu gospodarowania wodami na obszarze dorzecza Odry z terenem gminy Suchy Las związane są następujące </w:t>
            </w:r>
            <w:proofErr w:type="spellStart"/>
            <w:r w:rsidRPr="009854B7">
              <w:rPr>
                <w:rFonts w:asciiTheme="minorHAnsi" w:eastAsia="Times New Roman" w:hAnsiTheme="minorHAnsi" w:cstheme="minorHAnsi"/>
                <w:sz w:val="22"/>
                <w:szCs w:val="22"/>
              </w:rPr>
              <w:t>jcwp</w:t>
            </w:r>
            <w:proofErr w:type="spellEnd"/>
            <w:r w:rsidRPr="009854B7">
              <w:rPr>
                <w:rFonts w:asciiTheme="minorHAnsi" w:eastAsia="Times New Roman" w:hAnsiTheme="minorHAnsi" w:cstheme="minorHAnsi"/>
                <w:sz w:val="22"/>
                <w:szCs w:val="22"/>
              </w:rPr>
              <w:t xml:space="preserve"> rzeczne: Bogdanka (PLRW60001018578), Warta od Kopli do Wełny (PLRW600012185999) oraz Samica </w:t>
            </w:r>
            <w:proofErr w:type="spellStart"/>
            <w:r w:rsidRPr="009854B7">
              <w:rPr>
                <w:rFonts w:asciiTheme="minorHAnsi" w:eastAsia="Times New Roman" w:hAnsiTheme="minorHAnsi" w:cstheme="minorHAnsi"/>
                <w:sz w:val="22"/>
                <w:szCs w:val="22"/>
              </w:rPr>
              <w:t>Kierska</w:t>
            </w:r>
            <w:proofErr w:type="spellEnd"/>
            <w:r w:rsidRPr="009854B7">
              <w:rPr>
                <w:rFonts w:asciiTheme="minorHAnsi" w:eastAsia="Times New Roman" w:hAnsiTheme="minorHAnsi" w:cstheme="minorHAnsi"/>
                <w:sz w:val="22"/>
                <w:szCs w:val="22"/>
              </w:rPr>
              <w:t xml:space="preserve"> (PLRW6000151871299).</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BBD36E" w14:textId="010F0475" w:rsidR="00CC1C6C" w:rsidRPr="009854B7" w:rsidRDefault="00705F9F">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Fragmenty dotyczące terenów zieleni, zwiększaniu powierzchni biologicznie czynnej zostały zapisane w celu nr 3. Ponadto, w </w:t>
            </w:r>
            <w:r w:rsidR="0070144F">
              <w:rPr>
                <w:rFonts w:asciiTheme="minorHAnsi" w:hAnsiTheme="minorHAnsi" w:cstheme="minorHAnsi"/>
                <w:sz w:val="22"/>
                <w:szCs w:val="22"/>
                <w:lang w:eastAsia="en-US"/>
              </w:rPr>
              <w:t>kierunku działań</w:t>
            </w:r>
            <w:r>
              <w:rPr>
                <w:rFonts w:asciiTheme="minorHAnsi" w:hAnsiTheme="minorHAnsi" w:cstheme="minorHAnsi"/>
                <w:sz w:val="22"/>
                <w:szCs w:val="22"/>
                <w:lang w:eastAsia="en-US"/>
              </w:rPr>
              <w:t xml:space="preserve"> 3.3. dopisano fragment odnoszący się do działań zmierzających do poprawy jakości jednolitych części wód powierzchniowych, których jakość jest zła i zagrożona nieosiągnięciem dobrego stanu w przyszłości.</w:t>
            </w:r>
          </w:p>
        </w:tc>
      </w:tr>
      <w:tr w:rsidR="00CC1C6C" w:rsidRPr="009854B7" w14:paraId="63B52B6B"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46E6D8" w14:textId="31360606" w:rsidR="00CC1C6C" w:rsidRPr="009854B7" w:rsidRDefault="00CC1C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lastRenderedPageBreak/>
              <w:t>7</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12BD8A" w14:textId="39DD6406" w:rsidR="00CC1C6C" w:rsidRPr="009854B7" w:rsidRDefault="002E6292">
            <w:pPr>
              <w:rPr>
                <w:rFonts w:asciiTheme="minorHAnsi" w:hAnsiTheme="minorHAnsi" w:cstheme="minorHAnsi"/>
                <w:sz w:val="22"/>
                <w:szCs w:val="22"/>
              </w:rPr>
            </w:pPr>
            <w:r w:rsidRPr="009854B7">
              <w:rPr>
                <w:rFonts w:asciiTheme="minorHAnsi" w:hAnsiTheme="minorHAnsi" w:cstheme="minorHAnsi"/>
                <w:sz w:val="22"/>
                <w:szCs w:val="22"/>
              </w:rPr>
              <w:t xml:space="preserve">Starostwo Powiatowe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FE4581" w14:textId="29030116" w:rsidR="00CC1C6C" w:rsidRPr="009854B7" w:rsidRDefault="00B12EAC" w:rsidP="00631FF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Budowa Nowej Obornickiej powinna być rozpatrywana jako zadanie ponadlokalne dla gminy. Inwestycja powinna być realizowana ze środków samorządu wojewódzkiego jako droga wojewódzka nr 433, usytuowana na terenie miasta Poznania- ul. Obornicka. </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BD2EB2" w14:textId="68C877D0" w:rsidR="00CC1C6C" w:rsidRPr="009854B7" w:rsidRDefault="00777EE7">
            <w:pPr>
              <w:rPr>
                <w:rFonts w:asciiTheme="minorHAnsi" w:hAnsiTheme="minorHAnsi" w:cstheme="minorHAnsi"/>
                <w:sz w:val="22"/>
                <w:szCs w:val="22"/>
                <w:lang w:eastAsia="en-US"/>
              </w:rPr>
            </w:pPr>
            <w:r>
              <w:rPr>
                <w:rFonts w:asciiTheme="minorHAnsi" w:hAnsiTheme="minorHAnsi" w:cstheme="minorHAnsi"/>
                <w:sz w:val="22"/>
                <w:szCs w:val="22"/>
                <w:lang w:eastAsia="en-US"/>
              </w:rPr>
              <w:t>Budowa Nowej Obornickiej została zapisana jako zadanie ponadlokalne. Konkretne rozwiązania organizacyjno-finansowe nie są jednak możliwe do rozstrzygnięcia na tym etapie zaawansowania tej inwestycji.</w:t>
            </w:r>
          </w:p>
        </w:tc>
      </w:tr>
      <w:tr w:rsidR="00B12EAC" w:rsidRPr="009854B7" w14:paraId="68AC4D74"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EE666" w14:textId="0091EB40" w:rsidR="00B12EAC" w:rsidRPr="009854B7" w:rsidRDefault="00B12EAC" w:rsidP="00B12EA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lastRenderedPageBreak/>
              <w:t>8</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D99552" w14:textId="269074FE" w:rsidR="00B12EAC" w:rsidRPr="009854B7" w:rsidRDefault="00B12EAC" w:rsidP="00B12EAC">
            <w:pPr>
              <w:rPr>
                <w:rFonts w:asciiTheme="minorHAnsi" w:hAnsiTheme="minorHAnsi" w:cstheme="minorHAnsi"/>
                <w:sz w:val="22"/>
                <w:szCs w:val="22"/>
              </w:rPr>
            </w:pPr>
            <w:r w:rsidRPr="009854B7">
              <w:rPr>
                <w:rFonts w:asciiTheme="minorHAnsi" w:hAnsiTheme="minorHAnsi" w:cstheme="minorHAnsi"/>
                <w:sz w:val="22"/>
                <w:szCs w:val="22"/>
              </w:rPr>
              <w:t xml:space="preserve">Starostwo Powiatowe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424274" w14:textId="349ECE3D" w:rsidR="00B12EAC" w:rsidRPr="009854B7" w:rsidRDefault="00E36DBA" w:rsidP="00B12EAC">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Obwodnica Biedruska – zadania opiniujemy negatywnie ze względu na planowaną Północno-Wschodnią Obwodnicą Aglomeracji Poznańskiej, która odciąży Biedrusko. Natomiast w terminie do 2030 lub po 2030) należy planować wymianę (budowę nowego obiektu) mostu drogowego przez Wartę. </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49EA" w14:textId="0D13598B" w:rsidR="00B12EAC" w:rsidRPr="009854B7" w:rsidRDefault="00777EE7" w:rsidP="00B12EAC">
            <w:pPr>
              <w:rPr>
                <w:rFonts w:asciiTheme="minorHAnsi" w:hAnsiTheme="minorHAnsi" w:cstheme="minorHAnsi"/>
                <w:sz w:val="22"/>
                <w:szCs w:val="22"/>
                <w:lang w:eastAsia="en-US"/>
              </w:rPr>
            </w:pPr>
            <w:r>
              <w:rPr>
                <w:rFonts w:asciiTheme="minorHAnsi" w:hAnsiTheme="minorHAnsi" w:cstheme="minorHAnsi"/>
                <w:sz w:val="22"/>
                <w:szCs w:val="22"/>
                <w:lang w:eastAsia="en-US"/>
              </w:rPr>
              <w:t>Mieszkańcy Biedruska bardzo często artykułują potrzebę budowy obwodnicy tej miejscowości. Traktują ją jako jedną z priorytetowych. W związku z dynamicznym rozwojem zabudowy w drugim, trzecim i czwartym pierścieniu gmin podpoznańskich (Murowana Goślina, Skoki, Wągrowiec i in.), z których ruch samochodowy prowadzony jest obecnie w znacznej części przez Biedrusko, budowa obwodnicy wydaje się być zasadnym pomysłem. Perspektywa realizacji północno-wschodniej obwodnicy Poznania</w:t>
            </w:r>
            <w:r w:rsidR="00D45760">
              <w:rPr>
                <w:rFonts w:asciiTheme="minorHAnsi" w:hAnsiTheme="minorHAnsi" w:cstheme="minorHAnsi"/>
                <w:sz w:val="22"/>
                <w:szCs w:val="22"/>
                <w:lang w:eastAsia="en-US"/>
              </w:rPr>
              <w:t xml:space="preserve"> jest zdaniem autorów odległa i nie jest pewne, czy rozwiąże kluczowe problemy transportowe Biedruska.</w:t>
            </w:r>
          </w:p>
        </w:tc>
      </w:tr>
      <w:tr w:rsidR="00B12EAC" w:rsidRPr="009854B7" w14:paraId="4EA0943B"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F2ACFE" w14:textId="78FAAC45" w:rsidR="00B12EAC" w:rsidRPr="009854B7" w:rsidRDefault="00B12EAC" w:rsidP="00B12EA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9</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E331AA" w14:textId="2166BC33" w:rsidR="00B12EAC" w:rsidRPr="009854B7" w:rsidRDefault="00B12EAC" w:rsidP="00B12EAC">
            <w:pPr>
              <w:rPr>
                <w:rFonts w:asciiTheme="minorHAnsi" w:hAnsiTheme="minorHAnsi" w:cstheme="minorHAnsi"/>
                <w:sz w:val="22"/>
                <w:szCs w:val="22"/>
              </w:rPr>
            </w:pPr>
            <w:r w:rsidRPr="009854B7">
              <w:rPr>
                <w:rFonts w:asciiTheme="minorHAnsi" w:hAnsiTheme="minorHAnsi" w:cstheme="minorHAnsi"/>
                <w:sz w:val="22"/>
                <w:szCs w:val="22"/>
              </w:rPr>
              <w:t xml:space="preserve">Starostwo Powiatowe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512BD" w14:textId="5B40A30F" w:rsidR="00B12EAC" w:rsidRPr="009854B7" w:rsidRDefault="001624B0" w:rsidP="00B12EAC">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Budowę wiaduktu w ciągu ulicy Sucholeskiej zadanie znajduje się w projekcie planu finansowanego Zarządu Dróg Powiatowych w Poznaniu na 2022 r.</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DC972D" w14:textId="23512BFE" w:rsidR="00B12EAC" w:rsidRPr="009854B7" w:rsidRDefault="00D45760" w:rsidP="00B12EAC">
            <w:pPr>
              <w:rPr>
                <w:rFonts w:asciiTheme="minorHAnsi" w:hAnsiTheme="minorHAnsi" w:cstheme="minorHAnsi"/>
                <w:sz w:val="22"/>
                <w:szCs w:val="22"/>
                <w:lang w:eastAsia="en-US"/>
              </w:rPr>
            </w:pPr>
            <w:r>
              <w:rPr>
                <w:rFonts w:asciiTheme="minorHAnsi" w:hAnsiTheme="minorHAnsi" w:cstheme="minorHAnsi"/>
                <w:sz w:val="22"/>
                <w:szCs w:val="22"/>
                <w:lang w:eastAsia="en-US"/>
              </w:rPr>
              <w:t>Inwestycja ta znalazła się w projekcie strategii</w:t>
            </w:r>
          </w:p>
        </w:tc>
      </w:tr>
      <w:tr w:rsidR="00B12EAC" w:rsidRPr="009854B7" w14:paraId="4DA5116E"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00B97C" w14:textId="6903BB71" w:rsidR="00B12EAC" w:rsidRPr="009854B7" w:rsidRDefault="00B12EAC" w:rsidP="00B12EA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10</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D8786D" w14:textId="7B011525" w:rsidR="00B12EAC" w:rsidRPr="009854B7" w:rsidRDefault="00B12EAC" w:rsidP="00B12EAC">
            <w:pPr>
              <w:rPr>
                <w:rFonts w:asciiTheme="minorHAnsi" w:hAnsiTheme="minorHAnsi" w:cstheme="minorHAnsi"/>
                <w:sz w:val="22"/>
                <w:szCs w:val="22"/>
              </w:rPr>
            </w:pPr>
            <w:r w:rsidRPr="009854B7">
              <w:rPr>
                <w:rFonts w:asciiTheme="minorHAnsi" w:hAnsiTheme="minorHAnsi" w:cstheme="minorHAnsi"/>
                <w:sz w:val="22"/>
                <w:szCs w:val="22"/>
              </w:rPr>
              <w:t xml:space="preserve">Starostwo Powiatowe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90D825" w14:textId="22A0C42C" w:rsidR="00B12EAC" w:rsidRPr="009854B7" w:rsidRDefault="001624B0" w:rsidP="00B12EAC">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Uwarunkowania demograficzne gminy wa</w:t>
            </w:r>
            <w:r w:rsidR="006A0A3B" w:rsidRPr="009854B7">
              <w:rPr>
                <w:rFonts w:asciiTheme="minorHAnsi" w:eastAsia="Times New Roman" w:hAnsiTheme="minorHAnsi" w:cstheme="minorHAnsi"/>
                <w:sz w:val="22"/>
                <w:szCs w:val="22"/>
              </w:rPr>
              <w:t xml:space="preserve">rto rozwinąć o prognozę ludności Głównego Urzędu Statystycznego. </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C0E885" w14:textId="13D39FB7" w:rsidR="00B12EAC" w:rsidRPr="009854B7" w:rsidRDefault="00D45760" w:rsidP="00B12EAC">
            <w:pPr>
              <w:rPr>
                <w:rFonts w:asciiTheme="minorHAnsi" w:hAnsiTheme="minorHAnsi" w:cstheme="minorHAnsi"/>
                <w:sz w:val="22"/>
                <w:szCs w:val="22"/>
                <w:lang w:eastAsia="en-US"/>
              </w:rPr>
            </w:pPr>
            <w:r>
              <w:rPr>
                <w:rFonts w:asciiTheme="minorHAnsi" w:hAnsiTheme="minorHAnsi" w:cstheme="minorHAnsi"/>
                <w:sz w:val="22"/>
                <w:szCs w:val="22"/>
                <w:lang w:eastAsia="en-US"/>
              </w:rPr>
              <w:t>Diagnozę sytuacji społecznej, gospodarczej i przestrzennej zakończono kilka miesięcy temu i nie planuje się jej modyfikować na tym etapie. Zapisano w niej prawdopodobne zmiany w strukturze wieku ludności. Prognoza GUS jest wartościowym materiałem analitycznym, choć trzeba też dodać, że pierwsze lata jej weryfikacji (powstała w 2016 r.) nie potwierdzają znacznej części zakładanych trendów.</w:t>
            </w:r>
          </w:p>
        </w:tc>
      </w:tr>
      <w:tr w:rsidR="00E36DBA" w:rsidRPr="009854B7" w14:paraId="1876DBDA"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7D3486" w14:textId="20815462" w:rsidR="00E36DBA" w:rsidRPr="009854B7" w:rsidRDefault="00E36DBA" w:rsidP="00E36DBA">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11</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4DCB5" w14:textId="2247F1EC" w:rsidR="00E36DBA" w:rsidRPr="009854B7" w:rsidRDefault="00E36DBA" w:rsidP="00E36DBA">
            <w:pPr>
              <w:rPr>
                <w:rFonts w:asciiTheme="minorHAnsi" w:hAnsiTheme="minorHAnsi" w:cstheme="minorHAnsi"/>
                <w:sz w:val="22"/>
                <w:szCs w:val="22"/>
              </w:rPr>
            </w:pPr>
            <w:r w:rsidRPr="009854B7">
              <w:rPr>
                <w:rFonts w:asciiTheme="minorHAnsi" w:hAnsiTheme="minorHAnsi" w:cstheme="minorHAnsi"/>
                <w:sz w:val="22"/>
                <w:szCs w:val="22"/>
              </w:rPr>
              <w:t xml:space="preserve">Starostwo Powiatowe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A3F866" w14:textId="245DD581" w:rsidR="00E36DBA" w:rsidRPr="009854B7" w:rsidRDefault="006A0A3B" w:rsidP="00E36DBA">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Str. 33 – w dniu 28 czerwca 2021 r. powstał Związek Powiatowo-Gminny „Wielkopolski Transport Regionalny”.</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7D496F" w14:textId="6E0F1B36" w:rsidR="00E36DBA" w:rsidRPr="009854B7" w:rsidRDefault="009D101F" w:rsidP="009D101F">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Dopisano w celu 1.3 odpowiedni zapis </w:t>
            </w:r>
          </w:p>
        </w:tc>
      </w:tr>
      <w:tr w:rsidR="00E36DBA" w:rsidRPr="009854B7" w14:paraId="0EA3AA2A"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298EEA" w14:textId="329F8C4A" w:rsidR="00E36DBA" w:rsidRPr="009854B7" w:rsidRDefault="00E36DBA" w:rsidP="00E36DBA">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12</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5C87A9" w14:textId="2930DE07" w:rsidR="00E36DBA" w:rsidRPr="009854B7" w:rsidRDefault="00E36DBA" w:rsidP="00E36DBA">
            <w:pPr>
              <w:rPr>
                <w:rFonts w:asciiTheme="minorHAnsi" w:hAnsiTheme="minorHAnsi" w:cstheme="minorHAnsi"/>
                <w:sz w:val="22"/>
                <w:szCs w:val="22"/>
              </w:rPr>
            </w:pPr>
            <w:r w:rsidRPr="009854B7">
              <w:rPr>
                <w:rFonts w:asciiTheme="minorHAnsi" w:hAnsiTheme="minorHAnsi" w:cstheme="minorHAnsi"/>
                <w:sz w:val="22"/>
                <w:szCs w:val="22"/>
              </w:rPr>
              <w:t xml:space="preserve">Starostwo Powiatowe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CD6ABD" w14:textId="177D243D" w:rsidR="00E36DBA" w:rsidRPr="009854B7" w:rsidRDefault="006A0A3B" w:rsidP="00E36DBA">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Opiniujemy pozytywnie budowę drogi ekspresowej S11 do granicy gminy.</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849062" w14:textId="7ECDDFE5" w:rsidR="00E36DBA" w:rsidRPr="009854B7" w:rsidRDefault="00623D1C" w:rsidP="00E36DBA">
            <w:pPr>
              <w:rPr>
                <w:rFonts w:asciiTheme="minorHAnsi" w:hAnsiTheme="minorHAnsi" w:cstheme="minorHAnsi"/>
                <w:sz w:val="22"/>
                <w:szCs w:val="22"/>
                <w:lang w:eastAsia="en-US"/>
              </w:rPr>
            </w:pPr>
            <w:r>
              <w:rPr>
                <w:rFonts w:asciiTheme="minorHAnsi" w:hAnsiTheme="minorHAnsi" w:cstheme="minorHAnsi"/>
                <w:sz w:val="22"/>
                <w:szCs w:val="22"/>
                <w:lang w:eastAsia="en-US"/>
              </w:rPr>
              <w:t>Dziękujemy za informację</w:t>
            </w:r>
          </w:p>
        </w:tc>
      </w:tr>
      <w:tr w:rsidR="006A0A3B" w:rsidRPr="009854B7" w14:paraId="3CA92DEC"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89EB6" w14:textId="1F282CA4" w:rsidR="006A0A3B" w:rsidRPr="009854B7" w:rsidRDefault="006A0A3B" w:rsidP="006A0A3B">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13</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4D7EC3" w14:textId="331C0EEE" w:rsidR="006A0A3B" w:rsidRPr="009854B7" w:rsidRDefault="006A0A3B" w:rsidP="006A0A3B">
            <w:pPr>
              <w:rPr>
                <w:rFonts w:asciiTheme="minorHAnsi" w:hAnsiTheme="minorHAnsi" w:cstheme="minorHAnsi"/>
                <w:sz w:val="22"/>
                <w:szCs w:val="22"/>
              </w:rPr>
            </w:pPr>
            <w:r w:rsidRPr="009854B7">
              <w:rPr>
                <w:rFonts w:asciiTheme="minorHAnsi" w:hAnsiTheme="minorHAnsi" w:cstheme="minorHAnsi"/>
                <w:sz w:val="22"/>
                <w:szCs w:val="22"/>
              </w:rPr>
              <w:t xml:space="preserve">Starostwo Powiatowe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04E618" w14:textId="6CB0D57E" w:rsidR="006A0A3B" w:rsidRPr="009854B7" w:rsidRDefault="006A0A3B" w:rsidP="006A0A3B">
            <w:pPr>
              <w:jc w:val="both"/>
              <w:rPr>
                <w:rFonts w:asciiTheme="minorHAnsi" w:eastAsia="Times New Roman" w:hAnsiTheme="minorHAnsi" w:cstheme="minorHAnsi"/>
                <w:b/>
                <w:bCs/>
                <w:sz w:val="22"/>
                <w:szCs w:val="22"/>
              </w:rPr>
            </w:pPr>
            <w:r w:rsidRPr="009854B7">
              <w:rPr>
                <w:rFonts w:asciiTheme="minorHAnsi" w:eastAsia="Times New Roman" w:hAnsiTheme="minorHAnsi" w:cstheme="minorHAnsi"/>
                <w:sz w:val="22"/>
                <w:szCs w:val="22"/>
              </w:rPr>
              <w:t>Opiniujemy pozytywnie budowę Północno-Wschodniej Obwodnicy Aglomeracji Poznańskiej.</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FBE5BC" w14:textId="13A102FF" w:rsidR="006A0A3B" w:rsidRPr="009854B7" w:rsidRDefault="00623D1C" w:rsidP="006A0A3B">
            <w:pPr>
              <w:rPr>
                <w:rFonts w:asciiTheme="minorHAnsi" w:hAnsiTheme="minorHAnsi" w:cstheme="minorHAnsi"/>
                <w:sz w:val="22"/>
                <w:szCs w:val="22"/>
                <w:lang w:eastAsia="en-US"/>
              </w:rPr>
            </w:pPr>
            <w:r>
              <w:rPr>
                <w:rFonts w:asciiTheme="minorHAnsi" w:hAnsiTheme="minorHAnsi" w:cstheme="minorHAnsi"/>
                <w:sz w:val="22"/>
                <w:szCs w:val="22"/>
                <w:lang w:eastAsia="en-US"/>
              </w:rPr>
              <w:t>Dziękujemy za informację</w:t>
            </w:r>
          </w:p>
        </w:tc>
      </w:tr>
      <w:tr w:rsidR="006A0A3B" w:rsidRPr="009854B7" w14:paraId="390ECDB1"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39C0CF" w14:textId="037B0A02" w:rsidR="006A0A3B" w:rsidRPr="009854B7" w:rsidRDefault="006A0A3B" w:rsidP="006A0A3B">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lastRenderedPageBreak/>
              <w:t>14</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6A196" w14:textId="10D93D1C" w:rsidR="006A0A3B" w:rsidRPr="009854B7" w:rsidRDefault="00EA1836" w:rsidP="006A0A3B">
            <w:pPr>
              <w:rPr>
                <w:rFonts w:asciiTheme="minorHAnsi" w:hAnsiTheme="minorHAnsi" w:cstheme="minorHAnsi"/>
                <w:sz w:val="22"/>
                <w:szCs w:val="22"/>
              </w:rPr>
            </w:pPr>
            <w:r w:rsidRPr="009854B7">
              <w:rPr>
                <w:rFonts w:asciiTheme="minorHAnsi" w:hAnsiTheme="minorHAnsi" w:cstheme="minorHAnsi"/>
                <w:sz w:val="22"/>
                <w:szCs w:val="22"/>
              </w:rPr>
              <w:t>Stowarzyszenie Lokalni</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68E830" w14:textId="5AA32DFE" w:rsidR="00EA1836" w:rsidRPr="009854B7" w:rsidRDefault="00EA1836" w:rsidP="00EA183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Uwaga nr 1: Modelu struktury funkcjonalno-przestrzennej oraz rekomendacji dla polityki przestrzennej (Rozdział 7 Strategii rozwoju gminy Suchy Las do 2030)</w:t>
            </w:r>
          </w:p>
          <w:p w14:paraId="77546BB9" w14:textId="41F0F235" w:rsidR="00EA1836" w:rsidRPr="009854B7" w:rsidRDefault="00EA1836" w:rsidP="00EA183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Założeniem modelu struktury funkcjonalno-przestrzennej powinno być syntetyczne przedstawienie w formie mapy głównych założeń planowanej Strategii. Zgodnie z Poradnikiem Ministerstwa Funduszy i Polityki Regionalnej</w:t>
            </w:r>
          </w:p>
          <w:p w14:paraId="7DF97710" w14:textId="09F7B401" w:rsidR="00EA1836" w:rsidRPr="009854B7" w:rsidRDefault="00EA1836" w:rsidP="00EA183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model ma nakreślać stan docelowy obszarów i sieci, z uwzględnieniem relacji między nimi. Na jego podstawie można zdefiniować odpowiednio strategiczne działania i obszary, które będą podstawą wzmacniania potencjału funkcjonalno-przestrzennego oraz przewidywania i zarządzania zjawiskami negatywnymi i konfliktogennymi.</w:t>
            </w:r>
          </w:p>
          <w:p w14:paraId="3D54ED0D" w14:textId="4AB5F894" w:rsidR="00EA1836" w:rsidRPr="009854B7" w:rsidRDefault="00EA1836" w:rsidP="00EA183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Możemy jedynie domniemywać, że w/w funkcje w projekcie Strategii rozwoju gminy Suchy Las do 2030 ma pełnić ryc. 7.1 </w:t>
            </w:r>
            <w:proofErr w:type="spellStart"/>
            <w:r w:rsidRPr="009854B7">
              <w:rPr>
                <w:rFonts w:asciiTheme="minorHAnsi" w:eastAsia="Times New Roman" w:hAnsiTheme="minorHAnsi" w:cstheme="minorHAnsi"/>
                <w:sz w:val="22"/>
                <w:szCs w:val="22"/>
              </w:rPr>
              <w:t>pn</w:t>
            </w:r>
            <w:proofErr w:type="spellEnd"/>
            <w:r w:rsidRPr="009854B7">
              <w:rPr>
                <w:rFonts w:asciiTheme="minorHAnsi" w:eastAsia="Times New Roman" w:hAnsiTheme="minorHAnsi" w:cstheme="minorHAnsi"/>
                <w:sz w:val="22"/>
                <w:szCs w:val="22"/>
              </w:rPr>
              <w:t xml:space="preserve"> „Kierunki zmian funkcjonalno-przestrzennych w gminie Suchy Las”. Niestety stanowi ona praktycznie odwzorowanie (przekopiowanie) założeń Studium uwarunkowań i kierunków zagospodarowania przestrzennego gminy Suchy Las. Przez brak elementów infrastruktury czy nazw miejscowości jest zupełnie nieczytelna i nie ma możliwości, bez skorzystania z innych map, zorientowania się w zaznaczonych terenach. Na mapie brakuje elementów (obecnie nie ma żadnych) określających:</w:t>
            </w:r>
          </w:p>
          <w:p w14:paraId="7E16CEC8" w14:textId="77777777" w:rsidR="00EA1836" w:rsidRPr="009854B7" w:rsidRDefault="00EA1836" w:rsidP="00EA1836">
            <w:pPr>
              <w:jc w:val="both"/>
              <w:rPr>
                <w:rFonts w:asciiTheme="minorHAnsi" w:eastAsia="Times New Roman" w:hAnsiTheme="minorHAnsi" w:cstheme="minorHAnsi"/>
                <w:sz w:val="22"/>
                <w:szCs w:val="22"/>
              </w:rPr>
            </w:pPr>
            <w:r w:rsidRPr="009854B7">
              <w:rPr>
                <w:rFonts w:ascii="Segoe UI Symbol" w:eastAsia="Times New Roman" w:hAnsi="Segoe UI Symbol" w:cs="Segoe UI Symbol"/>
                <w:sz w:val="22"/>
                <w:szCs w:val="22"/>
              </w:rPr>
              <w:t>✓</w:t>
            </w:r>
            <w:r w:rsidRPr="009854B7">
              <w:rPr>
                <w:rFonts w:asciiTheme="minorHAnsi" w:eastAsia="Times New Roman" w:hAnsiTheme="minorHAnsi" w:cstheme="minorHAnsi"/>
                <w:sz w:val="22"/>
                <w:szCs w:val="22"/>
              </w:rPr>
              <w:t xml:space="preserve"> demografię,</w:t>
            </w:r>
          </w:p>
          <w:p w14:paraId="4C07BE4D" w14:textId="77777777" w:rsidR="00EA1836" w:rsidRPr="009854B7" w:rsidRDefault="00EA1836" w:rsidP="00EA1836">
            <w:pPr>
              <w:jc w:val="both"/>
              <w:rPr>
                <w:rFonts w:asciiTheme="minorHAnsi" w:eastAsia="Times New Roman" w:hAnsiTheme="minorHAnsi" w:cstheme="minorHAnsi"/>
                <w:sz w:val="22"/>
                <w:szCs w:val="22"/>
              </w:rPr>
            </w:pPr>
            <w:r w:rsidRPr="009854B7">
              <w:rPr>
                <w:rFonts w:ascii="Segoe UI Symbol" w:eastAsia="Times New Roman" w:hAnsi="Segoe UI Symbol" w:cs="Segoe UI Symbol"/>
                <w:sz w:val="22"/>
                <w:szCs w:val="22"/>
              </w:rPr>
              <w:t>✓</w:t>
            </w:r>
            <w:r w:rsidRPr="009854B7">
              <w:rPr>
                <w:rFonts w:asciiTheme="minorHAnsi" w:eastAsia="Times New Roman" w:hAnsiTheme="minorHAnsi" w:cstheme="minorHAnsi"/>
                <w:sz w:val="22"/>
                <w:szCs w:val="22"/>
              </w:rPr>
              <w:t xml:space="preserve"> elementy istniejącej struktury osadniczej,</w:t>
            </w:r>
          </w:p>
          <w:p w14:paraId="601C5C53" w14:textId="77777777" w:rsidR="00EA1836" w:rsidRPr="009854B7" w:rsidRDefault="00EA1836" w:rsidP="00EA1836">
            <w:pPr>
              <w:jc w:val="both"/>
              <w:rPr>
                <w:rFonts w:asciiTheme="minorHAnsi" w:eastAsia="Times New Roman" w:hAnsiTheme="minorHAnsi" w:cstheme="minorHAnsi"/>
                <w:sz w:val="22"/>
                <w:szCs w:val="22"/>
              </w:rPr>
            </w:pPr>
            <w:r w:rsidRPr="009854B7">
              <w:rPr>
                <w:rFonts w:ascii="Segoe UI Symbol" w:eastAsia="Times New Roman" w:hAnsi="Segoe UI Symbol" w:cs="Segoe UI Symbol"/>
                <w:sz w:val="22"/>
                <w:szCs w:val="22"/>
              </w:rPr>
              <w:t>✓</w:t>
            </w:r>
            <w:r w:rsidRPr="009854B7">
              <w:rPr>
                <w:rFonts w:asciiTheme="minorHAnsi" w:eastAsia="Times New Roman" w:hAnsiTheme="minorHAnsi" w:cstheme="minorHAnsi"/>
                <w:sz w:val="22"/>
                <w:szCs w:val="22"/>
              </w:rPr>
              <w:t xml:space="preserve"> funkcjonujące systemy infrastruktury technicznej i społecznej,</w:t>
            </w:r>
          </w:p>
          <w:p w14:paraId="3B0EB983" w14:textId="77777777" w:rsidR="00EA1836" w:rsidRPr="009854B7" w:rsidRDefault="00EA1836" w:rsidP="00EA1836">
            <w:pPr>
              <w:jc w:val="both"/>
              <w:rPr>
                <w:rFonts w:asciiTheme="minorHAnsi" w:eastAsia="Times New Roman" w:hAnsiTheme="minorHAnsi" w:cstheme="minorHAnsi"/>
                <w:sz w:val="22"/>
                <w:szCs w:val="22"/>
              </w:rPr>
            </w:pPr>
            <w:r w:rsidRPr="009854B7">
              <w:rPr>
                <w:rFonts w:ascii="Segoe UI Symbol" w:eastAsia="Times New Roman" w:hAnsi="Segoe UI Symbol" w:cs="Segoe UI Symbol"/>
                <w:sz w:val="22"/>
                <w:szCs w:val="22"/>
              </w:rPr>
              <w:t>✓</w:t>
            </w:r>
            <w:r w:rsidRPr="009854B7">
              <w:rPr>
                <w:rFonts w:asciiTheme="minorHAnsi" w:eastAsia="Times New Roman" w:hAnsiTheme="minorHAnsi" w:cstheme="minorHAnsi"/>
                <w:sz w:val="22"/>
                <w:szCs w:val="22"/>
              </w:rPr>
              <w:t xml:space="preserve"> układ komunikacyjny i system transportowy,</w:t>
            </w:r>
          </w:p>
          <w:p w14:paraId="3EEFBCDE" w14:textId="77777777" w:rsidR="00EA1836" w:rsidRPr="009854B7" w:rsidRDefault="00EA1836" w:rsidP="00EA1836">
            <w:pPr>
              <w:jc w:val="both"/>
              <w:rPr>
                <w:rFonts w:asciiTheme="minorHAnsi" w:eastAsia="Times New Roman" w:hAnsiTheme="minorHAnsi" w:cstheme="minorHAnsi"/>
                <w:sz w:val="22"/>
                <w:szCs w:val="22"/>
              </w:rPr>
            </w:pPr>
            <w:r w:rsidRPr="009854B7">
              <w:rPr>
                <w:rFonts w:ascii="Segoe UI Symbol" w:eastAsia="Times New Roman" w:hAnsi="Segoe UI Symbol" w:cs="Segoe UI Symbol"/>
                <w:sz w:val="22"/>
                <w:szCs w:val="22"/>
              </w:rPr>
              <w:t>✓</w:t>
            </w:r>
            <w:r w:rsidRPr="009854B7">
              <w:rPr>
                <w:rFonts w:asciiTheme="minorHAnsi" w:eastAsia="Times New Roman" w:hAnsiTheme="minorHAnsi" w:cstheme="minorHAnsi"/>
                <w:sz w:val="22"/>
                <w:szCs w:val="22"/>
              </w:rPr>
              <w:t xml:space="preserve"> inne powiązania funkcjonalne,</w:t>
            </w:r>
          </w:p>
          <w:p w14:paraId="0E2D682B" w14:textId="77777777" w:rsidR="00EA1836" w:rsidRPr="009854B7" w:rsidRDefault="00EA1836" w:rsidP="00EA1836">
            <w:pPr>
              <w:jc w:val="both"/>
              <w:rPr>
                <w:rFonts w:asciiTheme="minorHAnsi" w:eastAsia="Times New Roman" w:hAnsiTheme="minorHAnsi" w:cstheme="minorHAnsi"/>
                <w:sz w:val="22"/>
                <w:szCs w:val="22"/>
              </w:rPr>
            </w:pPr>
            <w:r w:rsidRPr="009854B7">
              <w:rPr>
                <w:rFonts w:ascii="Segoe UI Symbol" w:eastAsia="Times New Roman" w:hAnsi="Segoe UI Symbol" w:cs="Segoe UI Symbol"/>
                <w:sz w:val="22"/>
                <w:szCs w:val="22"/>
              </w:rPr>
              <w:t>✓</w:t>
            </w:r>
            <w:r w:rsidRPr="009854B7">
              <w:rPr>
                <w:rFonts w:asciiTheme="minorHAnsi" w:eastAsia="Times New Roman" w:hAnsiTheme="minorHAnsi" w:cstheme="minorHAnsi"/>
                <w:sz w:val="22"/>
                <w:szCs w:val="22"/>
              </w:rPr>
              <w:t xml:space="preserve"> obszary o szczególnych walorach przyrodniczo-krajobrazowych, w tym chronione.</w:t>
            </w:r>
          </w:p>
          <w:p w14:paraId="3F8B816E" w14:textId="7D05C24E" w:rsidR="00EA1836" w:rsidRPr="009854B7" w:rsidRDefault="00EA1836" w:rsidP="00EA183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Czytając cele naszej Strategii chciałoby się np. znaleźć odniesienie na mapach w zakresie tzw. Nowej Obornickiej, drogi ekspresowej S11, węzła Chludowo, ale także przystanków przesiadkowych, czy innych inwestycji wpisanych do Strategii. Cześć opisowa punktu 7 sprowadza się praktycznie do opisów terenów - bez zlokalizowania ich na rycinie. Np. opis przy terenach usługowych: „przykładem takiej lokalizacji jest nowa szkoła w Biedrusku, planowana do </w:t>
            </w:r>
            <w:r w:rsidRPr="009854B7">
              <w:rPr>
                <w:rFonts w:asciiTheme="minorHAnsi" w:eastAsia="Times New Roman" w:hAnsiTheme="minorHAnsi" w:cstheme="minorHAnsi"/>
                <w:sz w:val="22"/>
                <w:szCs w:val="22"/>
              </w:rPr>
              <w:lastRenderedPageBreak/>
              <w:t>realizacji w centralnej części miejscowości” - analizując na rycinę 7.1 mieszkańcy, którzy słabiej znają gminę, nawet nie wiedzą gdzie szukać Biedruska. W modelu brakuje rekomendacji wynikających ze Strategii – np. w zakresie ochrony środowiska, które obszary wymagają szczególnej ochrony. Brak obszarów, które według rekomendacji powinny być priorytetem jeżeli chodzi o kwestię kanalizacji czy doprowadzenia gazu itp.</w:t>
            </w:r>
          </w:p>
          <w:p w14:paraId="19CDF035" w14:textId="4068E2E8" w:rsidR="00EA1836" w:rsidRPr="009854B7" w:rsidRDefault="00EA1836" w:rsidP="00EA183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Poprzez brak wskaźnika demograficznego niemożliwym jest, na podstawie modelu, uznać zasadność inwestycji edukacyjno-opiekuńczych na poszczególnych obszarach. Pominięty został też zupełnie element Gminnego Programu Rewitalizacji, z którym strategia powinna korelować i go uwzględniać.</w:t>
            </w:r>
          </w:p>
          <w:p w14:paraId="601B2D82" w14:textId="292E0FA8" w:rsidR="00EA1836" w:rsidRPr="009854B7" w:rsidRDefault="00EA1836" w:rsidP="00EA183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Mając na uwadze Poradnik Ministerstwa Funduszy i Polityki Regionalnej „Strategia Rozwoju Gminy” łatwo zauważyć różnice między przykładowymi modelami struktury funkcjonalno-przestrzennej oraz rekomendacji</w:t>
            </w:r>
          </w:p>
          <w:p w14:paraId="1991CFE9" w14:textId="6C4F40A6" w:rsidR="006A0A3B" w:rsidRPr="009854B7" w:rsidRDefault="00EA1836" w:rsidP="00EA1836">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przestrzennej, a ryciną 7.1 Strategii rozwoju gminy Suchy Las do 2030</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A0CB30" w14:textId="1B141236" w:rsidR="002F17C3" w:rsidRDefault="002F17C3" w:rsidP="002F17C3">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Zakres modelu struktury funkcjonalno-przestrzennej jest przedmiotem dyskusji. Podręcznik wydany przez Ministerstwo jest tylko jednym ze źródeł informacji jak go tworzyć. W Ministerstwie Rozwoju i Technologii trwały w ostatnich miesiącach prace nad zmianą systemu planowania przestrzennego – przedstawiciele UAM (autora strategii) byli w nie zaangażowani. W związku z tym znane nam były pierwsze projekty rozwiązań, które prawdopodobnie mogą określić docelową zawartość modelu. Wśród nich są (zgodnie z upublicznionym już w tej chwili projektem zmiany ustawy)</w:t>
            </w:r>
            <w:r w:rsidR="004938D6">
              <w:rPr>
                <w:rFonts w:asciiTheme="minorHAnsi" w:hAnsiTheme="minorHAnsi" w:cstheme="minorHAnsi"/>
                <w:sz w:val="22"/>
                <w:szCs w:val="22"/>
                <w:lang w:eastAsia="en-US"/>
              </w:rPr>
              <w:t xml:space="preserve"> </w:t>
            </w:r>
            <w:r w:rsidR="004938D6" w:rsidRPr="004938D6">
              <w:rPr>
                <w:rFonts w:asciiTheme="minorHAnsi" w:hAnsiTheme="minorHAnsi" w:cstheme="minorHAnsi"/>
                <w:sz w:val="22"/>
                <w:szCs w:val="22"/>
                <w:lang w:eastAsia="en-US"/>
              </w:rPr>
              <w:t>aktualny i docelowy układ elementów składowych przestrzeni, w tym</w:t>
            </w:r>
            <w:r>
              <w:rPr>
                <w:rFonts w:asciiTheme="minorHAnsi" w:hAnsiTheme="minorHAnsi" w:cstheme="minorHAnsi"/>
                <w:sz w:val="22"/>
                <w:szCs w:val="22"/>
                <w:lang w:eastAsia="en-US"/>
              </w:rPr>
              <w:t xml:space="preserve">: </w:t>
            </w:r>
          </w:p>
          <w:p w14:paraId="199F18BA" w14:textId="2A727936" w:rsidR="002F17C3" w:rsidRPr="002F17C3" w:rsidRDefault="002F17C3" w:rsidP="002F17C3">
            <w:pPr>
              <w:rPr>
                <w:rFonts w:asciiTheme="minorHAnsi" w:hAnsiTheme="minorHAnsi" w:cstheme="minorHAnsi"/>
                <w:sz w:val="22"/>
                <w:szCs w:val="22"/>
                <w:lang w:eastAsia="en-US"/>
              </w:rPr>
            </w:pPr>
            <w:r w:rsidRPr="002F17C3">
              <w:rPr>
                <w:rFonts w:asciiTheme="minorHAnsi" w:hAnsiTheme="minorHAnsi" w:cstheme="minorHAnsi"/>
                <w:sz w:val="22"/>
                <w:szCs w:val="22"/>
                <w:lang w:eastAsia="en-US"/>
              </w:rPr>
              <w:t>a)</w:t>
            </w:r>
            <w:r>
              <w:rPr>
                <w:rFonts w:asciiTheme="minorHAnsi" w:hAnsiTheme="minorHAnsi" w:cstheme="minorHAnsi"/>
                <w:sz w:val="22"/>
                <w:szCs w:val="22"/>
                <w:lang w:eastAsia="en-US"/>
              </w:rPr>
              <w:t xml:space="preserve"> </w:t>
            </w:r>
            <w:r w:rsidRPr="002F17C3">
              <w:rPr>
                <w:rFonts w:asciiTheme="minorHAnsi" w:hAnsiTheme="minorHAnsi" w:cstheme="minorHAnsi"/>
                <w:sz w:val="22"/>
                <w:szCs w:val="22"/>
                <w:lang w:eastAsia="en-US"/>
              </w:rPr>
              <w:t>strukturę sieci osadniczej wraz z rolą i hierarchią jednostek osadniczych,</w:t>
            </w:r>
          </w:p>
          <w:p w14:paraId="07845FBB" w14:textId="0B395AF8" w:rsidR="002F17C3" w:rsidRPr="002F17C3" w:rsidRDefault="002F17C3" w:rsidP="002F17C3">
            <w:pPr>
              <w:rPr>
                <w:rFonts w:asciiTheme="minorHAnsi" w:hAnsiTheme="minorHAnsi" w:cstheme="minorHAnsi"/>
                <w:sz w:val="22"/>
                <w:szCs w:val="22"/>
                <w:lang w:eastAsia="en-US"/>
              </w:rPr>
            </w:pPr>
            <w:r w:rsidRPr="002F17C3">
              <w:rPr>
                <w:rFonts w:asciiTheme="minorHAnsi" w:hAnsiTheme="minorHAnsi" w:cstheme="minorHAnsi"/>
                <w:sz w:val="22"/>
                <w:szCs w:val="22"/>
                <w:lang w:eastAsia="en-US"/>
              </w:rPr>
              <w:t>b)</w:t>
            </w:r>
            <w:r w:rsidR="004938D6">
              <w:rPr>
                <w:rFonts w:asciiTheme="minorHAnsi" w:hAnsiTheme="minorHAnsi" w:cstheme="minorHAnsi"/>
                <w:sz w:val="22"/>
                <w:szCs w:val="22"/>
                <w:lang w:eastAsia="en-US"/>
              </w:rPr>
              <w:t xml:space="preserve"> </w:t>
            </w:r>
            <w:r w:rsidRPr="002F17C3">
              <w:rPr>
                <w:rFonts w:asciiTheme="minorHAnsi" w:hAnsiTheme="minorHAnsi" w:cstheme="minorHAnsi"/>
                <w:sz w:val="22"/>
                <w:szCs w:val="22"/>
                <w:lang w:eastAsia="en-US"/>
              </w:rPr>
              <w:t>system powiązań przyrodniczych,</w:t>
            </w:r>
          </w:p>
          <w:p w14:paraId="12AEDD8C" w14:textId="74EBE380" w:rsidR="006A0A3B" w:rsidRDefault="002F17C3" w:rsidP="002F17C3">
            <w:pPr>
              <w:rPr>
                <w:rFonts w:asciiTheme="minorHAnsi" w:hAnsiTheme="minorHAnsi" w:cstheme="minorHAnsi"/>
                <w:sz w:val="22"/>
                <w:szCs w:val="22"/>
                <w:lang w:eastAsia="en-US"/>
              </w:rPr>
            </w:pPr>
            <w:r w:rsidRPr="002F17C3">
              <w:rPr>
                <w:rFonts w:asciiTheme="minorHAnsi" w:hAnsiTheme="minorHAnsi" w:cstheme="minorHAnsi"/>
                <w:sz w:val="22"/>
                <w:szCs w:val="22"/>
                <w:lang w:eastAsia="en-US"/>
              </w:rPr>
              <w:t>c)</w:t>
            </w:r>
            <w:r w:rsidR="004938D6">
              <w:rPr>
                <w:rFonts w:asciiTheme="minorHAnsi" w:hAnsiTheme="minorHAnsi" w:cstheme="minorHAnsi"/>
                <w:sz w:val="22"/>
                <w:szCs w:val="22"/>
                <w:lang w:eastAsia="en-US"/>
              </w:rPr>
              <w:t xml:space="preserve"> </w:t>
            </w:r>
            <w:r w:rsidRPr="002F17C3">
              <w:rPr>
                <w:rFonts w:asciiTheme="minorHAnsi" w:hAnsiTheme="minorHAnsi" w:cstheme="minorHAnsi"/>
                <w:sz w:val="22"/>
                <w:szCs w:val="22"/>
                <w:lang w:eastAsia="en-US"/>
              </w:rPr>
              <w:t>główne korytarze i elementy sieci transportowych;</w:t>
            </w:r>
          </w:p>
          <w:p w14:paraId="45540811" w14:textId="77777777" w:rsidR="004938D6" w:rsidRDefault="004938D6" w:rsidP="002F17C3">
            <w:pPr>
              <w:rPr>
                <w:rFonts w:asciiTheme="minorHAnsi" w:hAnsiTheme="minorHAnsi" w:cstheme="minorHAnsi"/>
                <w:sz w:val="22"/>
                <w:szCs w:val="22"/>
                <w:lang w:eastAsia="en-US"/>
              </w:rPr>
            </w:pPr>
            <w:r>
              <w:rPr>
                <w:rFonts w:asciiTheme="minorHAnsi" w:hAnsiTheme="minorHAnsi" w:cstheme="minorHAnsi"/>
                <w:sz w:val="22"/>
                <w:szCs w:val="22"/>
                <w:lang w:eastAsia="en-US"/>
              </w:rPr>
              <w:t>Cześć ww. elementów została uwzględniona w części tekstowej i graficznej. Pozostałe uzupełniono.</w:t>
            </w:r>
          </w:p>
          <w:p w14:paraId="7B1C47C3" w14:textId="77777777" w:rsidR="004C5A35" w:rsidRDefault="004C5A35" w:rsidP="002F17C3">
            <w:pPr>
              <w:rPr>
                <w:rFonts w:asciiTheme="minorHAnsi" w:hAnsiTheme="minorHAnsi" w:cstheme="minorHAnsi"/>
                <w:sz w:val="22"/>
                <w:szCs w:val="22"/>
                <w:lang w:eastAsia="en-US"/>
              </w:rPr>
            </w:pPr>
            <w:r>
              <w:rPr>
                <w:rFonts w:asciiTheme="minorHAnsi" w:hAnsiTheme="minorHAnsi" w:cstheme="minorHAnsi"/>
                <w:sz w:val="22"/>
                <w:szCs w:val="22"/>
                <w:lang w:eastAsia="en-US"/>
              </w:rPr>
              <w:t>Jeśli chodzi o inwestycje, zdecydowano się wymienić ich częściowy katalog w rozdziale opisującym cele – są tam także informacje o ich lokalizacji, jeśli została już ona wyznaczona. Zgodnie z aktualnie przedstawioną przez ustawodawcę koncepcją modelu, zdecydowano się nie umieszczać inwestycji na rysunku.</w:t>
            </w:r>
          </w:p>
          <w:p w14:paraId="7454DB4D" w14:textId="77777777" w:rsidR="004A7F71" w:rsidRDefault="004A7F71" w:rsidP="002F17C3">
            <w:pPr>
              <w:rPr>
                <w:rFonts w:asciiTheme="minorHAnsi" w:hAnsiTheme="minorHAnsi" w:cstheme="minorHAnsi"/>
                <w:sz w:val="22"/>
                <w:szCs w:val="22"/>
                <w:lang w:eastAsia="en-US"/>
              </w:rPr>
            </w:pPr>
          </w:p>
          <w:p w14:paraId="4F5536E9" w14:textId="17821463" w:rsidR="004C5A35" w:rsidRDefault="004C5A35" w:rsidP="002F17C3">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Wnioskodawcy postulują zamieszczenie „wskaźnika demograficznego” w modelu nie </w:t>
            </w:r>
            <w:r>
              <w:rPr>
                <w:rFonts w:asciiTheme="minorHAnsi" w:hAnsiTheme="minorHAnsi" w:cstheme="minorHAnsi"/>
                <w:sz w:val="22"/>
                <w:szCs w:val="22"/>
                <w:lang w:eastAsia="en-US"/>
              </w:rPr>
              <w:lastRenderedPageBreak/>
              <w:t xml:space="preserve">wskazując jednocześnie jaki wskaźnik demograficzny mają na myśli. </w:t>
            </w:r>
          </w:p>
          <w:p w14:paraId="3710B87B" w14:textId="77777777" w:rsidR="004A7F71" w:rsidRDefault="004A7F71" w:rsidP="002F17C3">
            <w:pPr>
              <w:rPr>
                <w:rFonts w:asciiTheme="minorHAnsi" w:hAnsiTheme="minorHAnsi" w:cstheme="minorHAnsi"/>
                <w:sz w:val="22"/>
                <w:szCs w:val="22"/>
                <w:lang w:eastAsia="en-US"/>
              </w:rPr>
            </w:pPr>
          </w:p>
          <w:p w14:paraId="09E1DE03" w14:textId="395CC57A" w:rsidR="004C5A35" w:rsidRPr="009854B7" w:rsidRDefault="004C5A35" w:rsidP="002F17C3">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Gminny program rewitalizacji jest dokumentem operacyjnym w stosunku do strategii i to on powinien zawierać jej elementy, a nie na odwrót – </w:t>
            </w:r>
            <w:r w:rsidR="004A7F71">
              <w:rPr>
                <w:rFonts w:asciiTheme="minorHAnsi" w:hAnsiTheme="minorHAnsi" w:cstheme="minorHAnsi"/>
                <w:sz w:val="22"/>
                <w:szCs w:val="22"/>
                <w:lang w:eastAsia="en-US"/>
              </w:rPr>
              <w:t>mówi o tym jednoznacznie ustawodawstwo, a przede wszystkim praktyka planistyczna</w:t>
            </w:r>
            <w:r>
              <w:rPr>
                <w:rFonts w:asciiTheme="minorHAnsi" w:hAnsiTheme="minorHAnsi" w:cstheme="minorHAnsi"/>
                <w:sz w:val="22"/>
                <w:szCs w:val="22"/>
                <w:lang w:eastAsia="en-US"/>
              </w:rPr>
              <w:t xml:space="preserve">. </w:t>
            </w:r>
          </w:p>
        </w:tc>
      </w:tr>
      <w:tr w:rsidR="006A0A3B" w:rsidRPr="009854B7" w14:paraId="6C41683B"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20BCEB" w14:textId="6631C665" w:rsidR="006A0A3B" w:rsidRPr="009854B7" w:rsidRDefault="006A0A3B" w:rsidP="006A0A3B">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lastRenderedPageBreak/>
              <w:t>15</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FC3DBD" w14:textId="385B1D5E" w:rsidR="006A0A3B" w:rsidRPr="009854B7" w:rsidRDefault="004E380B" w:rsidP="006A0A3B">
            <w:pPr>
              <w:rPr>
                <w:rFonts w:asciiTheme="minorHAnsi" w:hAnsiTheme="minorHAnsi" w:cstheme="minorHAnsi"/>
                <w:sz w:val="22"/>
                <w:szCs w:val="22"/>
              </w:rPr>
            </w:pPr>
            <w:r w:rsidRPr="009854B7">
              <w:rPr>
                <w:rFonts w:asciiTheme="minorHAnsi" w:hAnsiTheme="minorHAnsi" w:cstheme="minorHAnsi"/>
                <w:sz w:val="22"/>
                <w:szCs w:val="22"/>
              </w:rPr>
              <w:t>Stowarzyszenie Lokalni</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874D4E" w14:textId="2BF7F9AA" w:rsidR="004E380B" w:rsidRPr="009854B7" w:rsidRDefault="004E380B" w:rsidP="004E380B">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Uwaga nr 2 : Cel strategiczny „Poprawa warunków transportowych” (Rozdział 6 Strategii rozwoju gminy Suchy Las do 2030)</w:t>
            </w:r>
          </w:p>
          <w:p w14:paraId="7859A503" w14:textId="5D0CB2DB" w:rsidR="004E380B" w:rsidRPr="009854B7" w:rsidRDefault="004E380B" w:rsidP="004E380B">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W Strategii rozwoju gminy Suchy Las do 2030 głównym (nr 1) celem strategicznym jest „Poprawa warunków transportowych”, natomiast głównym kierunkiem działań (1.1) jest „Realizacja strategicznych inwestycji drogowych”. Jako mieszkańcy gminy bardzo dobrze zdajemy sobie sprawę, że obecny układ drogowy nie jest dostosowany do obecnego rozwoju naszej Gminy i został on wskazany w analizie SWOT jako najsłabsza strona naszej gminy (waga 0,4). Jednocześnie głównym zagrożeniem jest: Przesuwanie w czasie budowy przez Poznań Nowej Obornickiej i rozwiązania problemu transportowego w strefie sąsiadującej z gminą (waga 0,25). Jednocześnie w szansach nie widzimy możliwości finansowanie tego typu infrastruktury w przyszłej perspektywie</w:t>
            </w:r>
          </w:p>
          <w:p w14:paraId="1AA1A8AD" w14:textId="627A3CF5" w:rsidR="004E380B" w:rsidRPr="009854B7" w:rsidRDefault="004E380B" w:rsidP="004E380B">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UE (tzn. potencjalny brak możliwości finansowania z funduszy UE Nowej Obornickiej). W/w przesłanki powodują, że Strategia gminy Suchy Las do 2030, jednej z najbogatszej gminy w kraju, jest strategią defensywną, a nie ofensywną, nakierowaną na silne strony z analizy SWOT. Mamy świadomość, że z podobnym problemem drogowym boryka się większość gmin w naszym kraju. Wiemy również, że obecne strategie rozwoju powinny kłaść główny </w:t>
            </w:r>
            <w:r w:rsidRPr="009854B7">
              <w:rPr>
                <w:rFonts w:asciiTheme="minorHAnsi" w:eastAsia="Times New Roman" w:hAnsiTheme="minorHAnsi" w:cstheme="minorHAnsi"/>
                <w:sz w:val="22"/>
                <w:szCs w:val="22"/>
              </w:rPr>
              <w:lastRenderedPageBreak/>
              <w:t xml:space="preserve">nacisk na innowacje, idee „smart </w:t>
            </w:r>
            <w:proofErr w:type="spellStart"/>
            <w:r w:rsidRPr="009854B7">
              <w:rPr>
                <w:rFonts w:asciiTheme="minorHAnsi" w:eastAsia="Times New Roman" w:hAnsiTheme="minorHAnsi" w:cstheme="minorHAnsi"/>
                <w:sz w:val="22"/>
                <w:szCs w:val="22"/>
              </w:rPr>
              <w:t>city</w:t>
            </w:r>
            <w:proofErr w:type="spellEnd"/>
            <w:r w:rsidRPr="009854B7">
              <w:rPr>
                <w:rFonts w:asciiTheme="minorHAnsi" w:eastAsia="Times New Roman" w:hAnsiTheme="minorHAnsi" w:cstheme="minorHAnsi"/>
                <w:sz w:val="22"/>
                <w:szCs w:val="22"/>
              </w:rPr>
              <w:t>”, mobilność, rozwój zasobów ludzkich, ochronę środowiska, rozwój przedsiębiorczości. Stawianie jako głównego celu rozwój</w:t>
            </w:r>
          </w:p>
          <w:p w14:paraId="6D1CED7A" w14:textId="62B5864C" w:rsidR="004E380B" w:rsidRPr="009854B7" w:rsidRDefault="004E380B" w:rsidP="004E380B">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warunków transportowych, naszym zdaniem jest podejściem, od którego odchodzi się w nowoczesnym podejściu do rozwoju i zaspokojenia potrzeb gminy i jej mieszkańców.</w:t>
            </w:r>
            <w:r w:rsidR="00F36C06"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Nasze wątpliwości budzą również konkretne przedsięwzięcia inwestycyjne, które mają przyczynić się osiągniecia</w:t>
            </w:r>
            <w:r w:rsidR="00F36C06"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celu nr 1. Wg nas, niektóre z nich, są nierealne do realizacji do końca 2030; przekraczającą znacząco planowane</w:t>
            </w:r>
          </w:p>
          <w:p w14:paraId="09CF5949" w14:textId="77777777" w:rsidR="004E380B" w:rsidRPr="009854B7" w:rsidRDefault="004E380B" w:rsidP="004E380B">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środki Gminy, a co najważniejsze są niezależne od Gminy Suchy Las. I tak w ramach kierunku działania 1.1</w:t>
            </w:r>
          </w:p>
          <w:p w14:paraId="72A0F1A6" w14:textId="77777777" w:rsidR="004E380B" w:rsidRPr="009854B7" w:rsidRDefault="004E380B" w:rsidP="004E380B">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„Realizacja strategicznych inwestycji drogowych” wskazuje się następujące projekty:</w:t>
            </w:r>
          </w:p>
          <w:p w14:paraId="40CF9CB6" w14:textId="6601CE42" w:rsidR="004E380B" w:rsidRPr="009854B7" w:rsidRDefault="004E380B" w:rsidP="004E380B">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1. Obwodnica Biedruska. Jest to zadanie własne powiatu poznańskiego. Po przeanalizowaniu Strategii rozwoju powiatu poznańskiego nie znajdujemy w zakresie czasu do 2030 roku planów realizacji zadania obwodnicy Biedruska – w związku z tym należy domniemywać, że już na etapie tworzenia strategii mamy</w:t>
            </w:r>
          </w:p>
          <w:p w14:paraId="786A203F" w14:textId="4E43ACFD" w:rsidR="004E380B" w:rsidRPr="009854B7" w:rsidRDefault="004E380B" w:rsidP="004E380B">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wiedzę, że ten kierunek działania, który wyznacza pierwszy cel strategiczny obciążony jest olbrzymim</w:t>
            </w:r>
            <w:r w:rsidR="00552659"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ryzykiem braku realizacji.</w:t>
            </w:r>
          </w:p>
          <w:p w14:paraId="75786C7A" w14:textId="199AA474" w:rsidR="004E380B" w:rsidRPr="009854B7" w:rsidRDefault="004E380B" w:rsidP="004E380B">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2. Nowa Obornicka. To zadanie ma być realizowane wspólne przez kilka podmiotów. Z dostępnych</w:t>
            </w:r>
            <w:r w:rsidR="00552659"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publicznych informacji możemy przeczytać, że ta inwestycja nie jest w obszarze priorytetów miasta</w:t>
            </w:r>
            <w:r w:rsidR="00552659"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Poznania. Powołując się na słowa wójta gminy Suchy Las z artykułu z dnia 16.11.2020 roku , w którym</w:t>
            </w:r>
          </w:p>
          <w:p w14:paraId="2520A028" w14:textId="77777777" w:rsidR="00552659" w:rsidRPr="009854B7" w:rsidRDefault="004E380B" w:rsidP="00552659">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czytamy: „myślimy o budowie małej obwodnicy wewnętrznej, która łączyłaby Sucholeską z Obornicką.</w:t>
            </w:r>
            <w:r w:rsidR="00552659"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Mamy już na to koncepcję.” Z kolei w tym samym artykule zastępca prezydenta miasta Poznania</w:t>
            </w:r>
            <w:r w:rsidR="00552659"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przekazuje „...wcześniej chcemy zmierzyć się z budową Nowej Szymanowskiego...następne należy</w:t>
            </w:r>
            <w:r w:rsidR="00552659"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zmodernizować starą Obornicką, a dopiero na końcu zająć się Nową Obornicką... dla miasta Poznania</w:t>
            </w:r>
            <w:r w:rsidR="00552659"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nie jest to inwestycja priorytetowa”. Po powzięciu takich informacji wydaje się wątpliwe opieranie</w:t>
            </w:r>
            <w:r w:rsidR="00552659"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głównego priorytetu na Nowej Obornickiej, a zupełnie pomijanie w kierunkach działania alternatywy, o</w:t>
            </w:r>
            <w:r w:rsidR="00552659"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której wspomina wójt.</w:t>
            </w:r>
            <w:r w:rsidR="00552659" w:rsidRPr="009854B7">
              <w:rPr>
                <w:rFonts w:asciiTheme="minorHAnsi" w:eastAsia="Times New Roman" w:hAnsiTheme="minorHAnsi" w:cstheme="minorHAnsi"/>
                <w:sz w:val="22"/>
                <w:szCs w:val="22"/>
              </w:rPr>
              <w:t xml:space="preserve"> </w:t>
            </w:r>
          </w:p>
          <w:p w14:paraId="5DF6369B" w14:textId="329F522F" w:rsidR="00552659" w:rsidRPr="009854B7" w:rsidRDefault="00552659" w:rsidP="00552659">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lastRenderedPageBreak/>
              <w:t>3. S11 – zadanie Generalnej Dyrekcji Dróg Krajowych i Autostrad.</w:t>
            </w:r>
          </w:p>
          <w:p w14:paraId="3BD903F1" w14:textId="536C3F11" w:rsidR="00552659" w:rsidRPr="009854B7" w:rsidRDefault="00552659" w:rsidP="00552659">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4. Północno-wschodnia obwodnica Poznania – pomijając fakt, że to zadanie nie leży w kompetencji gminy Suchy Las, ostatnie informacje dotyczące problemów z uzyskaniem decyzji środowiskowej dla przedmiotowej inwestycji, odkładają to przedsięwzięcie z pewnością poza 2030 r.</w:t>
            </w:r>
          </w:p>
          <w:p w14:paraId="2DD9689B" w14:textId="36484C88" w:rsidR="006A0A3B" w:rsidRPr="009854B7" w:rsidRDefault="00552659" w:rsidP="000A6C5A">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Reasumując, w kierunkach działania (1.1), poza budową ronda </w:t>
            </w:r>
            <w:proofErr w:type="spellStart"/>
            <w:r w:rsidRPr="009854B7">
              <w:rPr>
                <w:rFonts w:asciiTheme="minorHAnsi" w:eastAsia="Times New Roman" w:hAnsiTheme="minorHAnsi" w:cstheme="minorHAnsi"/>
                <w:sz w:val="22"/>
                <w:szCs w:val="22"/>
              </w:rPr>
              <w:t>Perłowa-Sucholeska-Powstańców</w:t>
            </w:r>
            <w:proofErr w:type="spellEnd"/>
            <w:r w:rsidR="000A6C5A"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Wielkopolskich oraz nowej ul. Perłowej, żadna inwestycja nie jest zależna tylko od gminy Suchy Las. Wydaje</w:t>
            </w:r>
            <w:r w:rsidR="000A6C5A"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się więc, że nie powinno opierać głównego celu strategicznego na decyzjach, które nie zależą od Gminy i</w:t>
            </w:r>
            <w:r w:rsidR="000A6C5A"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obarczone są tak dużym ryzykiem niewykonalności. Za brak realizacji celu strategicznego w ocenie ex-post,</w:t>
            </w:r>
            <w:r w:rsidR="000A6C5A"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będzie odpowiadała Gmina, a nie jednostki nadrzędne.</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156E6B" w14:textId="77777777" w:rsidR="006A0A3B" w:rsidRDefault="004A7F71" w:rsidP="006A0A3B">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Proszę zapoznać się z podręcznikami dotyczącymi metody SWOT. Państwa jednoznaczne i kategoryczne konstatacje („</w:t>
            </w:r>
            <w:r w:rsidRPr="009854B7">
              <w:rPr>
                <w:rFonts w:asciiTheme="minorHAnsi" w:eastAsia="Times New Roman" w:hAnsiTheme="minorHAnsi" w:cstheme="minorHAnsi"/>
                <w:sz w:val="22"/>
                <w:szCs w:val="22"/>
              </w:rPr>
              <w:t>Strategia gminy Suchy Las do 2030, jednej z najbogatszej gminy w kraju, jest strategią defensywną, a nie ofensywną</w:t>
            </w:r>
            <w:r>
              <w:rPr>
                <w:rFonts w:asciiTheme="minorHAnsi" w:eastAsia="Times New Roman" w:hAnsiTheme="minorHAnsi" w:cstheme="minorHAnsi"/>
                <w:sz w:val="22"/>
                <w:szCs w:val="22"/>
              </w:rPr>
              <w:t>”</w:t>
            </w:r>
            <w:r>
              <w:rPr>
                <w:rFonts w:asciiTheme="minorHAnsi" w:hAnsiTheme="minorHAnsi" w:cstheme="minorHAnsi"/>
                <w:sz w:val="22"/>
                <w:szCs w:val="22"/>
                <w:lang w:eastAsia="en-US"/>
              </w:rPr>
              <w:t>), bazujące na połączonej interpretacji jednej słabej strony, jednej szansy i jednego zagrożenia są (delikatnie mówiąc) bardzo słabo osadzone w regułach stosowania tej metody.</w:t>
            </w:r>
            <w:r w:rsidR="00DE5194">
              <w:rPr>
                <w:rFonts w:asciiTheme="minorHAnsi" w:hAnsiTheme="minorHAnsi" w:cstheme="minorHAnsi"/>
                <w:sz w:val="22"/>
                <w:szCs w:val="22"/>
                <w:lang w:eastAsia="en-US"/>
              </w:rPr>
              <w:t xml:space="preserve"> Wybór wariantu strategicznego powinien opierać się na identyfikacji powiązań pomiędzy wszystkimi elementami macierzy SWOT. </w:t>
            </w:r>
          </w:p>
          <w:p w14:paraId="72F50F19" w14:textId="77777777" w:rsidR="00DE5194" w:rsidRDefault="00DE5194" w:rsidP="006A0A3B">
            <w:pPr>
              <w:rPr>
                <w:rFonts w:asciiTheme="minorHAnsi" w:hAnsiTheme="minorHAnsi" w:cstheme="minorHAnsi"/>
                <w:sz w:val="22"/>
                <w:szCs w:val="22"/>
                <w:lang w:eastAsia="en-US"/>
              </w:rPr>
            </w:pPr>
          </w:p>
          <w:p w14:paraId="088EE059" w14:textId="7F5DF071" w:rsidR="00DE5194" w:rsidRPr="009854B7" w:rsidRDefault="00DE5194" w:rsidP="006A0A3B">
            <w:pPr>
              <w:rPr>
                <w:rFonts w:asciiTheme="minorHAnsi" w:hAnsiTheme="minorHAnsi" w:cstheme="minorHAnsi"/>
                <w:sz w:val="22"/>
                <w:szCs w:val="22"/>
                <w:lang w:eastAsia="en-US"/>
              </w:rPr>
            </w:pPr>
            <w:r>
              <w:rPr>
                <w:rFonts w:asciiTheme="minorHAnsi" w:hAnsiTheme="minorHAnsi" w:cstheme="minorHAnsi"/>
                <w:sz w:val="22"/>
                <w:szCs w:val="22"/>
                <w:lang w:eastAsia="en-US"/>
              </w:rPr>
              <w:t>Jeśli chodzi o prawdopodobieństwo osiągnięcia celów</w:t>
            </w:r>
            <w:r w:rsidR="00240146">
              <w:rPr>
                <w:rFonts w:asciiTheme="minorHAnsi" w:hAnsiTheme="minorHAnsi" w:cstheme="minorHAnsi"/>
                <w:sz w:val="22"/>
                <w:szCs w:val="22"/>
                <w:lang w:eastAsia="en-US"/>
              </w:rPr>
              <w:t xml:space="preserve"> i realizacji inwestycji</w:t>
            </w:r>
            <w:r>
              <w:rPr>
                <w:rFonts w:asciiTheme="minorHAnsi" w:hAnsiTheme="minorHAnsi" w:cstheme="minorHAnsi"/>
                <w:sz w:val="22"/>
                <w:szCs w:val="22"/>
                <w:lang w:eastAsia="en-US"/>
              </w:rPr>
              <w:t>, jest ono różne w zależności od wielkości inwestycji i wyklarowania się ścieżki organizacyjno-</w:t>
            </w:r>
            <w:r>
              <w:rPr>
                <w:rFonts w:asciiTheme="minorHAnsi" w:hAnsiTheme="minorHAnsi" w:cstheme="minorHAnsi"/>
                <w:sz w:val="22"/>
                <w:szCs w:val="22"/>
                <w:lang w:eastAsia="en-US"/>
              </w:rPr>
              <w:lastRenderedPageBreak/>
              <w:t>finansowej jej realizacji. To, że za jakąś inwestycję formalnie odpowiada jednostka samorządu terytorialnego inna niż gmina Suchy Las</w:t>
            </w:r>
            <w:r w:rsidR="001A1362">
              <w:rPr>
                <w:rFonts w:asciiTheme="minorHAnsi" w:hAnsiTheme="minorHAnsi" w:cstheme="minorHAnsi"/>
                <w:sz w:val="22"/>
                <w:szCs w:val="22"/>
                <w:lang w:eastAsia="en-US"/>
              </w:rPr>
              <w:t xml:space="preserve"> lub podmiot administracji rządowej</w:t>
            </w:r>
            <w:r>
              <w:rPr>
                <w:rFonts w:asciiTheme="minorHAnsi" w:hAnsiTheme="minorHAnsi" w:cstheme="minorHAnsi"/>
                <w:sz w:val="22"/>
                <w:szCs w:val="22"/>
                <w:lang w:eastAsia="en-US"/>
              </w:rPr>
              <w:t>, nie musi oznaczać, że gmina nie powinna zakładać w tym zakresie celów i o nie zabiegać. Wnioskodawcy (tak przynajmniej wynika z treści uwagi) sugerują by usunąć z dokumentu strategicznego</w:t>
            </w:r>
            <w:r w:rsidR="001A1362">
              <w:rPr>
                <w:rFonts w:asciiTheme="minorHAnsi" w:hAnsiTheme="minorHAnsi" w:cstheme="minorHAnsi"/>
                <w:sz w:val="22"/>
                <w:szCs w:val="22"/>
                <w:lang w:eastAsia="en-US"/>
              </w:rPr>
              <w:t xml:space="preserve"> inwestycje, których realizacja jest mało prawdopodobna przed 2030 r</w:t>
            </w:r>
            <w:r>
              <w:rPr>
                <w:rFonts w:asciiTheme="minorHAnsi" w:hAnsiTheme="minorHAnsi" w:cstheme="minorHAnsi"/>
                <w:sz w:val="22"/>
                <w:szCs w:val="22"/>
                <w:lang w:eastAsia="en-US"/>
              </w:rPr>
              <w:t xml:space="preserve">. Organ wykonawczy, przedstawiający projekt strategii do </w:t>
            </w:r>
            <w:r w:rsidR="00240146">
              <w:rPr>
                <w:rFonts w:asciiTheme="minorHAnsi" w:hAnsiTheme="minorHAnsi" w:cstheme="minorHAnsi"/>
                <w:sz w:val="22"/>
                <w:szCs w:val="22"/>
                <w:lang w:eastAsia="en-US"/>
              </w:rPr>
              <w:t xml:space="preserve">konsultacji uważa jednak inaczej – zgodnie z oczekiwaniami mieszkańców i trudną sytuacją transportową </w:t>
            </w:r>
            <w:r w:rsidR="001A1362">
              <w:rPr>
                <w:rFonts w:asciiTheme="minorHAnsi" w:hAnsiTheme="minorHAnsi" w:cstheme="minorHAnsi"/>
                <w:sz w:val="22"/>
                <w:szCs w:val="22"/>
                <w:lang w:eastAsia="en-US"/>
              </w:rPr>
              <w:t>gminy</w:t>
            </w:r>
            <w:r w:rsidR="00240146">
              <w:rPr>
                <w:rFonts w:asciiTheme="minorHAnsi" w:hAnsiTheme="minorHAnsi" w:cstheme="minorHAnsi"/>
                <w:sz w:val="22"/>
                <w:szCs w:val="22"/>
                <w:lang w:eastAsia="en-US"/>
              </w:rPr>
              <w:t>, powinno się dążyć do realizacji t</w:t>
            </w:r>
            <w:r w:rsidR="001A1362">
              <w:rPr>
                <w:rFonts w:asciiTheme="minorHAnsi" w:hAnsiTheme="minorHAnsi" w:cstheme="minorHAnsi"/>
                <w:sz w:val="22"/>
                <w:szCs w:val="22"/>
                <w:lang w:eastAsia="en-US"/>
              </w:rPr>
              <w:t>ych</w:t>
            </w:r>
            <w:r w:rsidR="00240146">
              <w:rPr>
                <w:rFonts w:asciiTheme="minorHAnsi" w:hAnsiTheme="minorHAnsi" w:cstheme="minorHAnsi"/>
                <w:sz w:val="22"/>
                <w:szCs w:val="22"/>
                <w:lang w:eastAsia="en-US"/>
              </w:rPr>
              <w:t xml:space="preserve"> inwestycji. </w:t>
            </w:r>
            <w:r w:rsidR="001A1362">
              <w:rPr>
                <w:rFonts w:asciiTheme="minorHAnsi" w:hAnsiTheme="minorHAnsi" w:cstheme="minorHAnsi"/>
                <w:sz w:val="22"/>
                <w:szCs w:val="22"/>
                <w:lang w:eastAsia="en-US"/>
              </w:rPr>
              <w:t xml:space="preserve">Usuwanie ich z dokumentu takiego jak strategia rozwoju gminy może być podstawą niepodejmowania działań przygotowawczych i inwestycyjnych przez podmioty zewnętrzne, odpowiedzialne za ich realizację. </w:t>
            </w:r>
            <w:r w:rsidR="00240146">
              <w:rPr>
                <w:rFonts w:asciiTheme="minorHAnsi" w:hAnsiTheme="minorHAnsi" w:cstheme="minorHAnsi"/>
                <w:sz w:val="22"/>
                <w:szCs w:val="22"/>
                <w:lang w:eastAsia="en-US"/>
              </w:rPr>
              <w:t>Gdyby w strategii wpisywać wyłącznie inwestycje, które nie są (jak to wnioskodawcy piszą) „</w:t>
            </w:r>
            <w:r w:rsidR="00240146" w:rsidRPr="00240146">
              <w:rPr>
                <w:rFonts w:asciiTheme="minorHAnsi" w:hAnsiTheme="minorHAnsi" w:cstheme="minorHAnsi"/>
                <w:sz w:val="22"/>
                <w:szCs w:val="22"/>
                <w:lang w:eastAsia="en-US"/>
              </w:rPr>
              <w:t>obciążon</w:t>
            </w:r>
            <w:r w:rsidR="00240146">
              <w:rPr>
                <w:rFonts w:asciiTheme="minorHAnsi" w:hAnsiTheme="minorHAnsi" w:cstheme="minorHAnsi"/>
                <w:sz w:val="22"/>
                <w:szCs w:val="22"/>
                <w:lang w:eastAsia="en-US"/>
              </w:rPr>
              <w:t>e</w:t>
            </w:r>
            <w:r w:rsidR="00240146" w:rsidRPr="00240146">
              <w:rPr>
                <w:rFonts w:asciiTheme="minorHAnsi" w:hAnsiTheme="minorHAnsi" w:cstheme="minorHAnsi"/>
                <w:sz w:val="22"/>
                <w:szCs w:val="22"/>
                <w:lang w:eastAsia="en-US"/>
              </w:rPr>
              <w:t xml:space="preserve"> </w:t>
            </w:r>
            <w:r w:rsidR="00240146">
              <w:rPr>
                <w:rFonts w:asciiTheme="minorHAnsi" w:hAnsiTheme="minorHAnsi" w:cstheme="minorHAnsi"/>
                <w:sz w:val="22"/>
                <w:szCs w:val="22"/>
                <w:lang w:eastAsia="en-US"/>
              </w:rPr>
              <w:t xml:space="preserve">(…) </w:t>
            </w:r>
            <w:r w:rsidR="00240146" w:rsidRPr="00240146">
              <w:rPr>
                <w:rFonts w:asciiTheme="minorHAnsi" w:hAnsiTheme="minorHAnsi" w:cstheme="minorHAnsi"/>
                <w:sz w:val="22"/>
                <w:szCs w:val="22"/>
                <w:lang w:eastAsia="en-US"/>
              </w:rPr>
              <w:t>ryzykiem braku realizacji</w:t>
            </w:r>
            <w:r w:rsidR="00240146">
              <w:rPr>
                <w:rFonts w:asciiTheme="minorHAnsi" w:hAnsiTheme="minorHAnsi" w:cstheme="minorHAnsi"/>
                <w:sz w:val="22"/>
                <w:szCs w:val="22"/>
                <w:lang w:eastAsia="en-US"/>
              </w:rPr>
              <w:t>”, wówczas dokument ten zamieniłby się w kilkuletni program operacyjny. Planowanie inwestycji w horyzoncie 10 lat jest zawsze obarczone jakimś mniejszym lub większym ryzykiem (wynikającym choćby z ciągle bardzo niejasnej sytuacji w zakresie horyzontu czasowego uruchomienia środków unijnych oraz niepewnej sytuacji finansowej sektora finansów publicznych w ogóle – inflacja, spadek nadwyżki operacyjnej i in.).</w:t>
            </w:r>
          </w:p>
        </w:tc>
      </w:tr>
      <w:tr w:rsidR="006A0A3B" w:rsidRPr="009854B7" w14:paraId="1A34EAE6"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BF06E4" w14:textId="3533E557" w:rsidR="006A0A3B" w:rsidRPr="009854B7" w:rsidRDefault="006A0A3B" w:rsidP="006A0A3B">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lastRenderedPageBreak/>
              <w:t>16</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83C42" w14:textId="2E78FFBD" w:rsidR="006A0A3B" w:rsidRPr="009854B7" w:rsidRDefault="00DA3C5F" w:rsidP="006A0A3B">
            <w:pPr>
              <w:rPr>
                <w:rFonts w:asciiTheme="minorHAnsi" w:hAnsiTheme="minorHAnsi" w:cstheme="minorHAnsi"/>
                <w:sz w:val="22"/>
                <w:szCs w:val="22"/>
              </w:rPr>
            </w:pPr>
            <w:r w:rsidRPr="009854B7">
              <w:rPr>
                <w:rFonts w:asciiTheme="minorHAnsi" w:hAnsiTheme="minorHAnsi" w:cstheme="minorHAnsi"/>
                <w:sz w:val="22"/>
                <w:szCs w:val="22"/>
              </w:rPr>
              <w:t>UKS Gimnazjon</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369A8C" w14:textId="77777777" w:rsidR="00DA3C5F" w:rsidRPr="009854B7" w:rsidRDefault="00DA3C5F" w:rsidP="00DA3C5F">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Składamy uwagę i jednocześnie propozycję do Strategii Rozwoju Gminy Suchy Las na lata 2022-2030, odnośnie budowy bazy treningowej dla sportów walki,             w szczególności dla dyscypliny judo, poszerzonej o niezbędne zaplecze socjalne         i biurowe (prace administracyjne) oraz magazynowe.</w:t>
            </w:r>
          </w:p>
          <w:p w14:paraId="47D3A8A7" w14:textId="77777777" w:rsidR="00DA3C5F" w:rsidRPr="009854B7" w:rsidRDefault="00DA3C5F" w:rsidP="00DA3C5F">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         Sekcja judo rozpoczęła swoją historię na terenie Gminy Suchy Las w 2003 r. w ramach Uczniowskiego Klubu Sportowego Gimnazjon. Przez 18 lat działacze, trenerzy i rodzice oraz zawodnicy sekcji judo odnieśli wiele znaczących sukcesów sportowych na arenie krajowej i międzynarodowej. Co roku szkoleniem obejmujemy od 180 do 250 osób, w kilkunastu grupach treningowych. W 95% są to mieszkańcy Gminy Suchy Las a tylko 5% to mieszkańcy sąsiadujących z gminą miejscowości. </w:t>
            </w:r>
          </w:p>
          <w:p w14:paraId="1DF9E690" w14:textId="77777777" w:rsidR="00DA3C5F" w:rsidRPr="009854B7" w:rsidRDefault="00DA3C5F" w:rsidP="00DA3C5F">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         Klub odniósł również sukces, jako organizator kilkudziesięciu imprez sportowych, miedzy innymi w hali GOS w Suchym Lesie cyklicznego Międzynarodowego Wielkopolskiego Turnieju Judo, którego 18 edycja odbyła się w 2021 roku. Turniej zdobył wielką renomę, o czym świadczy liczba startujących zawodników z kraju i zagranicy, średnio około 1000. Trzeba dodać, że takie wydarzenie to duży bodziec dla lokalnych firm działających w branży hotelarskiej, gastronomicznej i innych. </w:t>
            </w:r>
          </w:p>
          <w:p w14:paraId="2F8B53CA" w14:textId="5FD003FF" w:rsidR="00DA3C5F" w:rsidRPr="009854B7" w:rsidRDefault="00DA3C5F" w:rsidP="00DA3C5F">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         W lutym 2021 roku wraz z rozpoczęciem przebudowy sali gimnastycznej            w szkole przy ul. Poziomkowej, Uczniowski Klub Sportowy Gimnazjon utracił swoją siedzibę i miejsce do trenowania, które rozwijał od 2003 roku. Przez </w:t>
            </w:r>
            <w:r w:rsidRPr="009854B7">
              <w:rPr>
                <w:rFonts w:asciiTheme="minorHAnsi" w:eastAsia="Times New Roman" w:hAnsiTheme="minorHAnsi" w:cstheme="minorHAnsi"/>
                <w:sz w:val="22"/>
                <w:szCs w:val="22"/>
              </w:rPr>
              <w:lastRenderedPageBreak/>
              <w:t xml:space="preserve">ostatnie 2 lata nasza sytuacja jest niestabilna i obecnie urządzamy się na kolejnej czwartej już sali.          Z pewnością nie sprzyja to rozwojowi klubu, który miał ogromny potencjał rozwojowy i uniemożliwiają realizację celów statutowych oraz działań na rzecz społeczności Gminy Suchy Las w zakresie upowszechnianie sportu i aktywnego stylu życia wśród mieszkańców. Od kilku lat z powodu problemów z bazą treningową i zapleczem do funkcjonowania klubu nie została powołana do życia, planowana sekcja judo dla niepełnosprawnych. Warto w tym miejscu podkreślić, że Uczniowski Klub Sportowy Gimnazjon ma na swoim koncie blisko 700 pkt i jest liderem ministerialnej klasyfikacji Systemu Sportu Młodzieżowego w gminie Suchy Las. </w:t>
            </w:r>
          </w:p>
          <w:p w14:paraId="24AC8B3E" w14:textId="1C24D305" w:rsidR="006A0A3B" w:rsidRPr="009854B7" w:rsidRDefault="00DA3C5F" w:rsidP="00255FF4">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     Od wielu lat można zaobserwować na terenie gminy inwestycje dotyczące rozwoju bazy treningowej dla gier zespołowych, przede wszystkim piłki nożnej i koszykowej oraz lekkiej atletyki natomiast brakuje atrakcyjnej oferty dla sportów walki, w tym judo.</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668625" w14:textId="13A93D53" w:rsidR="006A0A3B" w:rsidRPr="009854B7" w:rsidRDefault="001A1362" w:rsidP="006A0A3B">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Inwestycje w zakresie infrastruktury sportowej będą realizowane w ramach </w:t>
            </w:r>
            <w:r w:rsidR="00EA349B">
              <w:rPr>
                <w:rFonts w:asciiTheme="minorHAnsi" w:hAnsiTheme="minorHAnsi" w:cstheme="minorHAnsi"/>
                <w:sz w:val="22"/>
                <w:szCs w:val="22"/>
                <w:lang w:eastAsia="en-US"/>
              </w:rPr>
              <w:t xml:space="preserve">kierunku działań 2.1 – wybór rodzaju i czasu realizacji inwestycji nastąpi w momencie wyklarowania się </w:t>
            </w:r>
            <w:r w:rsidR="00E1146D">
              <w:rPr>
                <w:rFonts w:asciiTheme="minorHAnsi" w:hAnsiTheme="minorHAnsi" w:cstheme="minorHAnsi"/>
                <w:sz w:val="22"/>
                <w:szCs w:val="22"/>
                <w:lang w:eastAsia="en-US"/>
              </w:rPr>
              <w:t>sytuacji w zakresie możliwości pozyskania środków zewnętrznych</w:t>
            </w:r>
          </w:p>
        </w:tc>
      </w:tr>
      <w:tr w:rsidR="006A0A3B" w:rsidRPr="009854B7" w14:paraId="5457A51E"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EA268" w14:textId="6AFD7055" w:rsidR="006A0A3B" w:rsidRPr="009854B7" w:rsidRDefault="006A0A3B" w:rsidP="006A0A3B">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17</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595250" w14:textId="46727CD7" w:rsidR="006A0A3B" w:rsidRPr="009854B7" w:rsidRDefault="000174ED" w:rsidP="006A0A3B">
            <w:pPr>
              <w:rPr>
                <w:rFonts w:asciiTheme="minorHAnsi" w:hAnsiTheme="minorHAnsi" w:cstheme="minorHAnsi"/>
                <w:sz w:val="22"/>
                <w:szCs w:val="22"/>
              </w:rPr>
            </w:pPr>
            <w:r w:rsidRPr="009854B7">
              <w:rPr>
                <w:rFonts w:asciiTheme="minorHAnsi" w:hAnsiTheme="minorHAnsi" w:cstheme="minorHAnsi"/>
                <w:sz w:val="22"/>
                <w:szCs w:val="22"/>
              </w:rPr>
              <w:t xml:space="preserve">Gmina Czerwonak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B79B82" w14:textId="19F72627" w:rsidR="006A0A3B" w:rsidRPr="009854B7" w:rsidRDefault="000174ED" w:rsidP="000174ED">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 xml:space="preserve">W nawiązaniu do pisma z dnia 8 listopada br., nr sprawy: PG.061.2.2021 dotyczącego konsultacji Strategii Rozwoju Gminy Suchy Las, po analizie przedmiotowego dokumentu, zauważone zostało, że w analizie SWOT, w "szansach"  nie występuje informacja o szansie, jaką może być kładka pieszo-rowerowa na wysokości </w:t>
            </w:r>
            <w:proofErr w:type="spellStart"/>
            <w:r w:rsidRPr="009854B7">
              <w:rPr>
                <w:rFonts w:asciiTheme="minorHAnsi" w:eastAsia="Times New Roman" w:hAnsiTheme="minorHAnsi" w:cstheme="minorHAnsi"/>
                <w:sz w:val="22"/>
                <w:szCs w:val="22"/>
              </w:rPr>
              <w:t>Radojewa</w:t>
            </w:r>
            <w:proofErr w:type="spellEnd"/>
            <w:r w:rsidRPr="009854B7">
              <w:rPr>
                <w:rFonts w:asciiTheme="minorHAnsi" w:eastAsia="Times New Roman" w:hAnsiTheme="minorHAnsi" w:cstheme="minorHAnsi"/>
                <w:sz w:val="22"/>
                <w:szCs w:val="22"/>
              </w:rPr>
              <w:t xml:space="preserve"> i Przystani Kajakowej Owińska. Temat poruszany jest w wielu wątkach dotyczących strategii jak np. odciążenie drogi powiatowej do Biedruska, którą poruszają się np. mieszkańcy gminy Czerwonak, a rozwiązanie z kładką i nowymi ścieżkami może zmniejszyć ruch pojazdów mechanicznych. Aspekt ten wydaję się być istotny zwłaszcza w kontekście współpracy z Metropolią Poznań i miastem Poznań. </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D598E7" w14:textId="1237AF50" w:rsidR="006A0A3B" w:rsidRPr="00C04822" w:rsidRDefault="00C04822" w:rsidP="006A0A3B">
            <w:pPr>
              <w:rPr>
                <w:rFonts w:asciiTheme="minorHAnsi" w:hAnsiTheme="minorHAnsi" w:cstheme="minorHAnsi"/>
                <w:sz w:val="22"/>
                <w:szCs w:val="22"/>
                <w:lang w:eastAsia="en-US"/>
              </w:rPr>
            </w:pPr>
            <w:r w:rsidRPr="00C04822">
              <w:rPr>
                <w:rFonts w:asciiTheme="minorHAnsi" w:hAnsiTheme="minorHAnsi" w:cstheme="minorHAnsi"/>
                <w:sz w:val="22"/>
                <w:szCs w:val="22"/>
                <w:lang w:eastAsia="en-US"/>
              </w:rPr>
              <w:t>Uzupe</w:t>
            </w:r>
            <w:r>
              <w:rPr>
                <w:rFonts w:asciiTheme="minorHAnsi" w:hAnsiTheme="minorHAnsi" w:cstheme="minorHAnsi"/>
                <w:sz w:val="22"/>
                <w:szCs w:val="22"/>
                <w:lang w:eastAsia="en-US"/>
              </w:rPr>
              <w:t>łniono analizę SWOT o to bardzo ważne z punktu widzenia integracji metropolitalnej przedsięwzięcie</w:t>
            </w:r>
          </w:p>
        </w:tc>
      </w:tr>
      <w:tr w:rsidR="00F31F43" w:rsidRPr="009854B7" w14:paraId="09FD2D86"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0356EE" w14:textId="242FEDAF" w:rsidR="00F31F43" w:rsidRPr="009854B7" w:rsidRDefault="00F31F43" w:rsidP="006A0A3B">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18</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2ACD8B" w14:textId="5AFBD310" w:rsidR="00F31F43" w:rsidRPr="009854B7" w:rsidRDefault="00F31F43" w:rsidP="006A0A3B">
            <w:pPr>
              <w:rPr>
                <w:rFonts w:asciiTheme="minorHAnsi" w:hAnsiTheme="minorHAnsi" w:cstheme="minorHAnsi"/>
                <w:sz w:val="22"/>
                <w:szCs w:val="22"/>
              </w:rPr>
            </w:pPr>
            <w:r w:rsidRPr="009854B7">
              <w:rPr>
                <w:rFonts w:asciiTheme="minorHAnsi" w:hAnsiTheme="minorHAnsi" w:cstheme="minorHAnsi"/>
                <w:sz w:val="22"/>
                <w:szCs w:val="22"/>
              </w:rPr>
              <w:t xml:space="preserve">Zarząd Województwa Wielkopolskiego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48C3FE" w14:textId="716E397B" w:rsidR="00F31F43" w:rsidRPr="009854B7" w:rsidRDefault="00F31F43" w:rsidP="00F31F43">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W zakresie kształtowania zielonego pierścienia metropolii:</w:t>
            </w:r>
          </w:p>
          <w:p w14:paraId="481C023F" w14:textId="59F77AD5" w:rsidR="00F31F43" w:rsidRPr="009854B7" w:rsidRDefault="00F31F43" w:rsidP="007A386C">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a. zielony pierścień metropolii (rezerwat przyrody, obszary chronionego krajobrazu,</w:t>
            </w:r>
            <w:r w:rsidR="007A386C"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Obszary Natura 2000, tereny otwarte – rolnicza przestrzeń produkcyjna, tereny łąk</w:t>
            </w:r>
            <w:r w:rsidR="007A386C" w:rsidRPr="009854B7">
              <w:rPr>
                <w:rFonts w:asciiTheme="minorHAnsi" w:eastAsia="Times New Roman" w:hAnsiTheme="minorHAnsi" w:cstheme="minorHAnsi"/>
                <w:sz w:val="22"/>
                <w:szCs w:val="22"/>
              </w:rPr>
              <w:t xml:space="preserve"> </w:t>
            </w:r>
            <w:r w:rsidRPr="009854B7">
              <w:rPr>
                <w:rFonts w:asciiTheme="minorHAnsi" w:eastAsia="Times New Roman" w:hAnsiTheme="minorHAnsi" w:cstheme="minorHAnsi"/>
                <w:sz w:val="22"/>
                <w:szCs w:val="22"/>
              </w:rPr>
              <w:t>i pastwisk, kompleksy leśne i wyspy leśne, tereny osadnicze)</w:t>
            </w:r>
            <w:r w:rsidR="007A386C" w:rsidRPr="009854B7">
              <w:rPr>
                <w:rFonts w:asciiTheme="minorHAnsi" w:eastAsia="Times New Roman" w:hAnsiTheme="minorHAnsi" w:cstheme="minorHAnsi"/>
                <w:sz w:val="22"/>
                <w:szCs w:val="22"/>
              </w:rPr>
              <w:t>.</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8EFFED" w14:textId="0BB504D7" w:rsidR="00F31F43" w:rsidRPr="009854B7" w:rsidRDefault="0070144F" w:rsidP="006A0A3B">
            <w:pPr>
              <w:rPr>
                <w:rFonts w:asciiTheme="minorHAnsi" w:hAnsiTheme="minorHAnsi" w:cstheme="minorHAnsi"/>
                <w:sz w:val="22"/>
                <w:szCs w:val="22"/>
                <w:lang w:eastAsia="en-US"/>
              </w:rPr>
            </w:pPr>
            <w:r>
              <w:rPr>
                <w:rFonts w:asciiTheme="minorHAnsi" w:hAnsiTheme="minorHAnsi" w:cstheme="minorHAnsi"/>
                <w:sz w:val="22"/>
                <w:szCs w:val="22"/>
                <w:lang w:eastAsia="en-US"/>
              </w:rPr>
              <w:t>Uzupełniono o te elementy treść modelu struktury funkcjonalno-przestrzennej</w:t>
            </w:r>
          </w:p>
        </w:tc>
      </w:tr>
      <w:tr w:rsidR="007A386C" w:rsidRPr="009854B7" w14:paraId="7E1C5453"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54343" w14:textId="02641E11" w:rsidR="007A386C" w:rsidRPr="009854B7" w:rsidRDefault="007A386C" w:rsidP="007A38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19</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024167" w14:textId="53313C03" w:rsidR="007A386C" w:rsidRPr="009854B7" w:rsidRDefault="007A386C" w:rsidP="007A386C">
            <w:pPr>
              <w:rPr>
                <w:rFonts w:asciiTheme="minorHAnsi" w:hAnsiTheme="minorHAnsi" w:cstheme="minorHAnsi"/>
                <w:sz w:val="22"/>
                <w:szCs w:val="22"/>
              </w:rPr>
            </w:pPr>
            <w:r w:rsidRPr="009854B7">
              <w:rPr>
                <w:rFonts w:asciiTheme="minorHAnsi" w:hAnsiTheme="minorHAnsi" w:cstheme="minorHAnsi"/>
                <w:sz w:val="22"/>
                <w:szCs w:val="22"/>
              </w:rPr>
              <w:t xml:space="preserve">Zarząd Województwa Wielkopolskiego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2ABE13" w14:textId="5DD04268"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W zakresie kształtowania spójnego systemu przyrodniczego:</w:t>
            </w:r>
          </w:p>
          <w:p w14:paraId="43CAAB1B"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a. międzynarodowe i krajowe obszary węzłowe,</w:t>
            </w:r>
          </w:p>
          <w:p w14:paraId="1293BAA7" w14:textId="5624F3EE" w:rsidR="007A386C" w:rsidRPr="009854B7" w:rsidRDefault="007A386C" w:rsidP="007A386C">
            <w:pPr>
              <w:jc w:val="both"/>
              <w:rPr>
                <w:rFonts w:asciiTheme="minorHAnsi" w:eastAsia="Times New Roman" w:hAnsiTheme="minorHAnsi" w:cstheme="minorHAnsi"/>
                <w:sz w:val="22"/>
                <w:szCs w:val="22"/>
              </w:rPr>
            </w:pPr>
            <w:r w:rsidRPr="009854B7">
              <w:rPr>
                <w:rFonts w:asciiTheme="minorHAnsi" w:hAnsiTheme="minorHAnsi" w:cstheme="minorHAnsi"/>
                <w:sz w:val="22"/>
                <w:szCs w:val="22"/>
                <w:lang w:eastAsia="en-US"/>
              </w:rPr>
              <w:t>b. krajowe, regionalne i lokalne korytarze ekologiczne dolin rzecznych.</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6C4EEA" w14:textId="10D55BCE" w:rsidR="007A386C" w:rsidRPr="009854B7" w:rsidRDefault="0070144F" w:rsidP="007A386C">
            <w:pPr>
              <w:rPr>
                <w:rFonts w:asciiTheme="minorHAnsi" w:hAnsiTheme="minorHAnsi" w:cstheme="minorHAnsi"/>
                <w:sz w:val="22"/>
                <w:szCs w:val="22"/>
                <w:lang w:eastAsia="en-US"/>
              </w:rPr>
            </w:pPr>
            <w:r>
              <w:rPr>
                <w:rFonts w:asciiTheme="minorHAnsi" w:hAnsiTheme="minorHAnsi" w:cstheme="minorHAnsi"/>
                <w:sz w:val="22"/>
                <w:szCs w:val="22"/>
                <w:lang w:eastAsia="en-US"/>
              </w:rPr>
              <w:t>Treści te znajduje się w opisie celu 2</w:t>
            </w:r>
          </w:p>
        </w:tc>
      </w:tr>
      <w:tr w:rsidR="007A386C" w:rsidRPr="009854B7" w14:paraId="46D8DC16"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15EDFB" w14:textId="7FE8E6E5" w:rsidR="007A386C" w:rsidRPr="009854B7" w:rsidRDefault="007A386C" w:rsidP="007A38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lastRenderedPageBreak/>
              <w:t>20</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578456" w14:textId="44B4F995" w:rsidR="007A386C" w:rsidRPr="009854B7" w:rsidRDefault="007A386C" w:rsidP="007A386C">
            <w:pPr>
              <w:rPr>
                <w:rFonts w:asciiTheme="minorHAnsi" w:hAnsiTheme="minorHAnsi" w:cstheme="minorHAnsi"/>
                <w:sz w:val="22"/>
                <w:szCs w:val="22"/>
              </w:rPr>
            </w:pPr>
            <w:r w:rsidRPr="009854B7">
              <w:rPr>
                <w:rFonts w:asciiTheme="minorHAnsi" w:hAnsiTheme="minorHAnsi" w:cstheme="minorHAnsi"/>
                <w:sz w:val="22"/>
                <w:szCs w:val="22"/>
              </w:rPr>
              <w:t xml:space="preserve">Zarząd Województwa Wielkopolskiego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E9E056" w14:textId="0100BCFE"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W zakresie rozwoju efektywnego systemu komunikacyjnego:</w:t>
            </w:r>
          </w:p>
          <w:p w14:paraId="775004BA"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a. sieć powiązań komunikacyjnych – typ główny, typ uzupełniający i typ podstawowy,</w:t>
            </w:r>
          </w:p>
          <w:p w14:paraId="53D24A55"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b. orientacyjny przebieg Zewnętrznego Pierścienia Drogowego Bliskiego Zasięgu</w:t>
            </w:r>
          </w:p>
          <w:p w14:paraId="457A74F9"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c. klasyfikacja techniczna dróg – drogi klasy S i Z,</w:t>
            </w:r>
          </w:p>
          <w:p w14:paraId="05E642FC"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d. orientacyjne przebiegi planowanych dróg – drogi klasy S, GP i G,</w:t>
            </w:r>
          </w:p>
          <w:p w14:paraId="6DA47ECF"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e. miejscowość Biedrusko wymagające budowy obwodnicy,</w:t>
            </w:r>
          </w:p>
          <w:p w14:paraId="5AA1AD0E"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f. klasyfikacja techniczna linii kolejowych – linie kolejowe o maksymalnej prędkości do</w:t>
            </w:r>
          </w:p>
          <w:p w14:paraId="0778D49F"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160 i 100 km/h,</w:t>
            </w:r>
          </w:p>
          <w:p w14:paraId="418185C5"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 xml:space="preserve">g. droga wodna Warta klasy </w:t>
            </w:r>
            <w:proofErr w:type="spellStart"/>
            <w:r w:rsidRPr="009854B7">
              <w:rPr>
                <w:rFonts w:asciiTheme="minorHAnsi" w:hAnsiTheme="minorHAnsi" w:cstheme="minorHAnsi"/>
                <w:sz w:val="22"/>
                <w:szCs w:val="22"/>
                <w:lang w:eastAsia="en-US"/>
              </w:rPr>
              <w:t>Ib</w:t>
            </w:r>
            <w:proofErr w:type="spellEnd"/>
            <w:r w:rsidRPr="009854B7">
              <w:rPr>
                <w:rFonts w:asciiTheme="minorHAnsi" w:hAnsiTheme="minorHAnsi" w:cstheme="minorHAnsi"/>
                <w:sz w:val="22"/>
                <w:szCs w:val="22"/>
                <w:lang w:eastAsia="en-US"/>
              </w:rPr>
              <w:t>,</w:t>
            </w:r>
          </w:p>
          <w:p w14:paraId="647C9C06" w14:textId="1FD79450" w:rsidR="007A386C" w:rsidRPr="009854B7" w:rsidRDefault="007A386C" w:rsidP="007A386C">
            <w:pPr>
              <w:jc w:val="both"/>
              <w:rPr>
                <w:rFonts w:asciiTheme="minorHAnsi" w:eastAsia="Times New Roman" w:hAnsiTheme="minorHAnsi" w:cstheme="minorHAnsi"/>
                <w:sz w:val="22"/>
                <w:szCs w:val="22"/>
              </w:rPr>
            </w:pPr>
            <w:r w:rsidRPr="009854B7">
              <w:rPr>
                <w:rFonts w:asciiTheme="minorHAnsi" w:hAnsiTheme="minorHAnsi" w:cstheme="minorHAnsi"/>
                <w:sz w:val="22"/>
                <w:szCs w:val="22"/>
                <w:lang w:eastAsia="en-US"/>
              </w:rPr>
              <w:t>h. infrastruktura transportu rowerowego – system dróg rowerowych.</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7A88A5" w14:textId="515C065C" w:rsidR="007A386C" w:rsidRPr="009854B7" w:rsidRDefault="0070144F" w:rsidP="007A386C">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Część treści zawartych w uwadze znajduje się w opisie celów strategicznych. Nie wszystkie elementy są jednak możliwe do wpisania do strategii ze względu na ich zbyt szczegółowy charakter </w:t>
            </w:r>
          </w:p>
        </w:tc>
      </w:tr>
      <w:tr w:rsidR="007A386C" w:rsidRPr="009854B7" w14:paraId="0E457871"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1B5FBD" w14:textId="7CA0A48E" w:rsidR="007A386C" w:rsidRPr="009854B7" w:rsidRDefault="007A386C" w:rsidP="007A38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21</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349D84" w14:textId="024B9728" w:rsidR="007A386C" w:rsidRPr="009854B7" w:rsidRDefault="007A386C" w:rsidP="007A386C">
            <w:pPr>
              <w:rPr>
                <w:rFonts w:asciiTheme="minorHAnsi" w:hAnsiTheme="minorHAnsi" w:cstheme="minorHAnsi"/>
                <w:sz w:val="22"/>
                <w:szCs w:val="22"/>
              </w:rPr>
            </w:pPr>
            <w:r w:rsidRPr="009854B7">
              <w:rPr>
                <w:rFonts w:asciiTheme="minorHAnsi" w:hAnsiTheme="minorHAnsi" w:cstheme="minorHAnsi"/>
                <w:sz w:val="22"/>
                <w:szCs w:val="22"/>
              </w:rPr>
              <w:t xml:space="preserve">Zarząd Województwa Wielkopolskiego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FF9841" w14:textId="26D57FA9"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W zakresie zintegrowanego systemu transportu zbiorowego:</w:t>
            </w:r>
          </w:p>
          <w:p w14:paraId="4680F285"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a. stacje i przystanki kolejowe:</w:t>
            </w:r>
          </w:p>
          <w:p w14:paraId="5BE4AA5D" w14:textId="2DA9BE76" w:rsidR="007A386C" w:rsidRPr="009854B7" w:rsidRDefault="007A386C" w:rsidP="007A386C">
            <w:pPr>
              <w:pStyle w:val="Akapitzlist"/>
              <w:numPr>
                <w:ilvl w:val="0"/>
                <w:numId w:val="3"/>
              </w:num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istniejące: Chludowo, Golęczewo, Złotniki,</w:t>
            </w:r>
          </w:p>
          <w:p w14:paraId="6E6887A7" w14:textId="5C185CB7" w:rsidR="007A386C" w:rsidRPr="009854B7" w:rsidRDefault="007A386C" w:rsidP="007A386C">
            <w:pPr>
              <w:pStyle w:val="Akapitzlist"/>
              <w:numPr>
                <w:ilvl w:val="0"/>
                <w:numId w:val="3"/>
              </w:num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planowane: Suchy Las, Os. Grzybowe, Złotkowo,</w:t>
            </w:r>
          </w:p>
          <w:p w14:paraId="3B28F1A7" w14:textId="77777777" w:rsidR="007A386C" w:rsidRPr="009854B7" w:rsidRDefault="007A386C" w:rsidP="007A386C">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b. węzły przesiadkowe: Suchy Las, Os. Grzybowe, Złotkowo,</w:t>
            </w:r>
          </w:p>
          <w:p w14:paraId="048BB237" w14:textId="0D81E7D5" w:rsidR="007A386C" w:rsidRPr="009854B7" w:rsidRDefault="007A386C" w:rsidP="007A386C">
            <w:pPr>
              <w:jc w:val="both"/>
              <w:rPr>
                <w:rFonts w:asciiTheme="minorHAnsi" w:eastAsia="Times New Roman" w:hAnsiTheme="minorHAnsi" w:cstheme="minorHAnsi"/>
                <w:sz w:val="22"/>
                <w:szCs w:val="22"/>
              </w:rPr>
            </w:pPr>
            <w:r w:rsidRPr="009854B7">
              <w:rPr>
                <w:rFonts w:asciiTheme="minorHAnsi" w:hAnsiTheme="minorHAnsi" w:cstheme="minorHAnsi"/>
                <w:sz w:val="22"/>
                <w:szCs w:val="22"/>
                <w:lang w:eastAsia="en-US"/>
              </w:rPr>
              <w:t>c. strefa II obsługi koleją o częstotliwości połączeń co 30 minut</w:t>
            </w:r>
            <w:r w:rsidR="00F5241E" w:rsidRPr="009854B7">
              <w:rPr>
                <w:rFonts w:asciiTheme="minorHAnsi" w:hAnsiTheme="minorHAnsi" w:cstheme="minorHAnsi"/>
                <w:sz w:val="22"/>
                <w:szCs w:val="22"/>
                <w:lang w:eastAsia="en-US"/>
              </w:rPr>
              <w:t>.</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0929C" w14:textId="3807AD86" w:rsidR="007A386C" w:rsidRPr="009854B7" w:rsidRDefault="00761460" w:rsidP="007A386C">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Przystanki kolejowe w Złotkowie i przy os. Grzybowym już istnieją. </w:t>
            </w:r>
          </w:p>
        </w:tc>
      </w:tr>
      <w:tr w:rsidR="007A386C" w:rsidRPr="009854B7" w14:paraId="57801619"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A9B472" w14:textId="5969A811" w:rsidR="007A386C" w:rsidRPr="009854B7" w:rsidRDefault="007A386C" w:rsidP="007A38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22</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7C5415" w14:textId="4627EE7B" w:rsidR="007A386C" w:rsidRPr="009854B7" w:rsidRDefault="007A386C" w:rsidP="007A386C">
            <w:pPr>
              <w:rPr>
                <w:rFonts w:asciiTheme="minorHAnsi" w:hAnsiTheme="minorHAnsi" w:cstheme="minorHAnsi"/>
                <w:sz w:val="22"/>
                <w:szCs w:val="22"/>
              </w:rPr>
            </w:pPr>
            <w:r w:rsidRPr="009854B7">
              <w:rPr>
                <w:rFonts w:asciiTheme="minorHAnsi" w:hAnsiTheme="minorHAnsi" w:cstheme="minorHAnsi"/>
                <w:sz w:val="22"/>
                <w:szCs w:val="22"/>
              </w:rPr>
              <w:t xml:space="preserve">Zarząd Województwa Wielkopolskiego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D3D3A4" w14:textId="4B31F01F" w:rsidR="00F5241E" w:rsidRPr="009854B7" w:rsidRDefault="00F5241E" w:rsidP="00F5241E">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W zakresie obszarów ograniczeń dla rozwoju struktur osadniczych:</w:t>
            </w:r>
          </w:p>
          <w:p w14:paraId="2B5CC45E" w14:textId="75ECA123" w:rsidR="00F5241E" w:rsidRPr="009854B7" w:rsidRDefault="00F5241E" w:rsidP="00F5241E">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a. obszary ochrony i kształtowania środowiska przyrodniczego – obszary chronionego krajobrazu, obszary Natura 2000, zielony pierścień metropolii, lądowe drogi migracji zwierząt, tereny łąk, strefa występowania gruntów ornych klasy I-III o najwyższej przydatności do produkcji rolnej,</w:t>
            </w:r>
          </w:p>
          <w:p w14:paraId="53B254DD" w14:textId="6BB92B5E" w:rsidR="007A386C" w:rsidRPr="009854B7" w:rsidRDefault="00F5241E" w:rsidP="00F5241E">
            <w:pPr>
              <w:autoSpaceDE w:val="0"/>
              <w:autoSpaceDN w:val="0"/>
              <w:adjustRightInd w:val="0"/>
              <w:rPr>
                <w:rFonts w:asciiTheme="minorHAnsi" w:eastAsia="Times New Roman" w:hAnsiTheme="minorHAnsi" w:cstheme="minorHAnsi"/>
                <w:sz w:val="22"/>
                <w:szCs w:val="22"/>
              </w:rPr>
            </w:pPr>
            <w:r w:rsidRPr="009854B7">
              <w:rPr>
                <w:rFonts w:asciiTheme="minorHAnsi" w:hAnsiTheme="minorHAnsi" w:cstheme="minorHAnsi"/>
                <w:sz w:val="22"/>
                <w:szCs w:val="22"/>
                <w:lang w:eastAsia="en-US"/>
              </w:rPr>
              <w:t>b. obszary i miejsca ograniczeń związane z bezpieczeństwem publicznym – obszary, na których prawdopodobieństwo wystąpienia powodzi jest niskie i obszary narażone na zalanie w przypadku zniszczenia lub uszkodzenia wału przeciwpowodziowego, strefa ochrony pośredniej ujęć wody, obszary ograniczeń wysokości zabudowy wokół lotnisk oraz lotniczych urządzeń naziemnych, strefa ograniczonego zainwestowania od radaru meteorologicznego w Wysogotowie (20 km), strefy bezpieczeństwa od obiektów liniowych sieci infrastruktury technicznej, ujęcia wody.</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6E74B4" w14:textId="2A7BF2D3" w:rsidR="007A386C" w:rsidRPr="009854B7" w:rsidRDefault="00761460" w:rsidP="007A386C">
            <w:pPr>
              <w:rPr>
                <w:rFonts w:asciiTheme="minorHAnsi" w:hAnsiTheme="minorHAnsi" w:cstheme="minorHAnsi"/>
                <w:sz w:val="22"/>
                <w:szCs w:val="22"/>
                <w:lang w:eastAsia="en-US"/>
              </w:rPr>
            </w:pPr>
            <w:r>
              <w:rPr>
                <w:rFonts w:asciiTheme="minorHAnsi" w:hAnsiTheme="minorHAnsi" w:cstheme="minorHAnsi"/>
                <w:sz w:val="22"/>
                <w:szCs w:val="22"/>
                <w:lang w:eastAsia="en-US"/>
              </w:rPr>
              <w:t>Elementy zawarte w uwadze stanowią część celów strategicznych zapisanych w projekcie strategii</w:t>
            </w:r>
          </w:p>
        </w:tc>
      </w:tr>
      <w:tr w:rsidR="007A386C" w:rsidRPr="009854B7" w14:paraId="5F480E26"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B1AF72" w14:textId="4727F138" w:rsidR="007A386C" w:rsidRPr="009854B7" w:rsidRDefault="007A386C" w:rsidP="007A38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lastRenderedPageBreak/>
              <w:t>23</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A49F8E" w14:textId="7901ABAB" w:rsidR="007A386C" w:rsidRPr="009854B7" w:rsidRDefault="007A386C" w:rsidP="007A386C">
            <w:pPr>
              <w:rPr>
                <w:rFonts w:asciiTheme="minorHAnsi" w:hAnsiTheme="minorHAnsi" w:cstheme="minorHAnsi"/>
                <w:sz w:val="22"/>
                <w:szCs w:val="22"/>
              </w:rPr>
            </w:pPr>
            <w:r w:rsidRPr="009854B7">
              <w:rPr>
                <w:rFonts w:asciiTheme="minorHAnsi" w:hAnsiTheme="minorHAnsi" w:cstheme="minorHAnsi"/>
                <w:sz w:val="22"/>
                <w:szCs w:val="22"/>
              </w:rPr>
              <w:t xml:space="preserve">Zarząd Województwa Wielkopolskiego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9B8984" w14:textId="148B10E2" w:rsidR="009854B7" w:rsidRPr="009854B7" w:rsidRDefault="009854B7" w:rsidP="009854B7">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W zakresie obszarów wyłączonych z rozwoju struktur osadniczych:</w:t>
            </w:r>
          </w:p>
          <w:p w14:paraId="0FF47F93" w14:textId="2F9517C5" w:rsidR="009854B7" w:rsidRPr="009854B7" w:rsidRDefault="009854B7" w:rsidP="009854B7">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a. obszary ochrony i kształtowania środowiska przyrodniczego – rezerwat przyrody, lasy, zieleń urządzona, wody powierzchniowe, ekosystemy zależne od wód, korytarze ekologiczne dolin rzecznych,</w:t>
            </w:r>
          </w:p>
          <w:p w14:paraId="31CEF3D5" w14:textId="77777777" w:rsidR="009854B7" w:rsidRPr="009854B7" w:rsidRDefault="009854B7" w:rsidP="009854B7">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b. obszary i miejsca związane z bezpieczeństwem publicznym – obszary</w:t>
            </w:r>
          </w:p>
          <w:p w14:paraId="6B6D0C84" w14:textId="77777777" w:rsidR="009854B7" w:rsidRPr="009854B7" w:rsidRDefault="009854B7" w:rsidP="009854B7">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szczególnego zagrożenia powodzią: obszary, na których prawdopodobieństwo</w:t>
            </w:r>
          </w:p>
          <w:p w14:paraId="5D89B6B8" w14:textId="6DBCB97B" w:rsidR="007A386C" w:rsidRPr="009854B7" w:rsidRDefault="009854B7" w:rsidP="009854B7">
            <w:pPr>
              <w:jc w:val="both"/>
              <w:rPr>
                <w:rFonts w:asciiTheme="minorHAnsi" w:eastAsia="Times New Roman" w:hAnsiTheme="minorHAnsi" w:cstheme="minorHAnsi"/>
                <w:sz w:val="22"/>
                <w:szCs w:val="22"/>
              </w:rPr>
            </w:pPr>
            <w:r w:rsidRPr="009854B7">
              <w:rPr>
                <w:rFonts w:asciiTheme="minorHAnsi" w:eastAsia="Times New Roman" w:hAnsiTheme="minorHAnsi" w:cstheme="minorHAnsi"/>
                <w:sz w:val="22"/>
                <w:szCs w:val="22"/>
              </w:rPr>
              <w:t>wystąpienia powodzi jest wysokie i średnie, strefy ochrony bezpośredniej ujęć wody, obszary wyłączone z zainwestowania kompleksów wojskowych K-8637 Biedrusko, Poligon Biedrusko.</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338A29" w14:textId="1DFC6A53" w:rsidR="007A386C" w:rsidRPr="009854B7" w:rsidRDefault="00761460" w:rsidP="007A386C">
            <w:pPr>
              <w:rPr>
                <w:rFonts w:asciiTheme="minorHAnsi" w:hAnsiTheme="minorHAnsi" w:cstheme="minorHAnsi"/>
                <w:sz w:val="22"/>
                <w:szCs w:val="22"/>
                <w:lang w:eastAsia="en-US"/>
              </w:rPr>
            </w:pPr>
            <w:r>
              <w:rPr>
                <w:rFonts w:asciiTheme="minorHAnsi" w:hAnsiTheme="minorHAnsi" w:cstheme="minorHAnsi"/>
                <w:sz w:val="22"/>
                <w:szCs w:val="22"/>
                <w:lang w:eastAsia="en-US"/>
              </w:rPr>
              <w:t>Elementy zawarte w uwadze stanowią część celów strategicznych zapisanych w projekcie strategii</w:t>
            </w:r>
          </w:p>
        </w:tc>
      </w:tr>
      <w:tr w:rsidR="007A386C" w:rsidRPr="009854B7" w14:paraId="1BEBDA93"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E38241" w14:textId="41FE0A9E" w:rsidR="007A386C" w:rsidRPr="009854B7" w:rsidRDefault="007A386C" w:rsidP="007A38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24</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08D44D" w14:textId="1CE1ECE3" w:rsidR="007A386C" w:rsidRPr="009854B7" w:rsidRDefault="007A386C" w:rsidP="007A386C">
            <w:pPr>
              <w:rPr>
                <w:rFonts w:asciiTheme="minorHAnsi" w:hAnsiTheme="minorHAnsi" w:cstheme="minorHAnsi"/>
                <w:sz w:val="22"/>
                <w:szCs w:val="22"/>
              </w:rPr>
            </w:pPr>
            <w:r w:rsidRPr="009854B7">
              <w:rPr>
                <w:rFonts w:asciiTheme="minorHAnsi" w:hAnsiTheme="minorHAnsi" w:cstheme="minorHAnsi"/>
                <w:sz w:val="22"/>
                <w:szCs w:val="22"/>
              </w:rPr>
              <w:t xml:space="preserve">Zarząd Województwa Wielkopolskiego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0F811C" w14:textId="11FEFA83" w:rsidR="009854B7" w:rsidRPr="009854B7" w:rsidRDefault="009854B7" w:rsidP="009854B7">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W zakresie rozwoju efektywnych struktur osadniczych:</w:t>
            </w:r>
          </w:p>
          <w:p w14:paraId="10A10640" w14:textId="6BE6A55F" w:rsidR="009854B7" w:rsidRPr="009854B7" w:rsidRDefault="009854B7" w:rsidP="009854B7">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a. obszary predysponowane dla rozwoju struktur osadniczych – obszary uzupełnienia i rewitalizacji w istniejących strukturach osadniczych, obszary rozwoju w otoczeniu stacji i przystanków kolejowych, obszary rozwoju na terenach wskazanych do</w:t>
            </w:r>
          </w:p>
          <w:p w14:paraId="2B83A475" w14:textId="19A9D98F" w:rsidR="009854B7" w:rsidRPr="009854B7" w:rsidRDefault="009854B7" w:rsidP="009854B7">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objęcia systemem aglomeracji kanalizacyjnych, obszary rozwoju w otoczeniu węzłów dróg krajowych,</w:t>
            </w:r>
          </w:p>
          <w:p w14:paraId="7448F6DD" w14:textId="77777777" w:rsidR="009854B7" w:rsidRPr="009854B7" w:rsidRDefault="009854B7" w:rsidP="009854B7">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b. obszary i miejsca dla rozwoju zagospodarowania związanego z turystyką i rekreacją</w:t>
            </w:r>
          </w:p>
          <w:p w14:paraId="2E337EBD" w14:textId="77777777" w:rsidR="009854B7" w:rsidRPr="009854B7" w:rsidRDefault="009854B7" w:rsidP="009854B7">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 miejsca ekspozycji krajobrazu,</w:t>
            </w:r>
          </w:p>
          <w:p w14:paraId="5DAFDC9C" w14:textId="7A91DE69" w:rsidR="009854B7" w:rsidRPr="009854B7" w:rsidRDefault="009854B7" w:rsidP="009854B7">
            <w:pPr>
              <w:autoSpaceDE w:val="0"/>
              <w:autoSpaceDN w:val="0"/>
              <w:adjustRightInd w:val="0"/>
              <w:rPr>
                <w:rFonts w:asciiTheme="minorHAnsi" w:hAnsiTheme="minorHAnsi" w:cstheme="minorHAnsi"/>
                <w:sz w:val="22"/>
                <w:szCs w:val="22"/>
                <w:lang w:eastAsia="en-US"/>
              </w:rPr>
            </w:pPr>
            <w:r w:rsidRPr="009854B7">
              <w:rPr>
                <w:rFonts w:asciiTheme="minorHAnsi" w:hAnsiTheme="minorHAnsi" w:cstheme="minorHAnsi"/>
                <w:sz w:val="22"/>
                <w:szCs w:val="22"/>
                <w:lang w:eastAsia="en-US"/>
              </w:rPr>
              <w:t>c. obszary ograniczeń dla rozwoju struktur osadniczych – obszary i miejsca związane z bezpieczeństwem publicznym,</w:t>
            </w:r>
          </w:p>
          <w:p w14:paraId="2FC55BE6" w14:textId="0A35D1BE" w:rsidR="007A386C" w:rsidRPr="009854B7" w:rsidRDefault="009854B7" w:rsidP="009854B7">
            <w:pPr>
              <w:autoSpaceDE w:val="0"/>
              <w:autoSpaceDN w:val="0"/>
              <w:adjustRightInd w:val="0"/>
              <w:rPr>
                <w:rFonts w:asciiTheme="minorHAnsi" w:eastAsia="Times New Roman" w:hAnsiTheme="minorHAnsi" w:cstheme="minorHAnsi"/>
                <w:sz w:val="22"/>
                <w:szCs w:val="22"/>
              </w:rPr>
            </w:pPr>
            <w:r w:rsidRPr="009854B7">
              <w:rPr>
                <w:rFonts w:asciiTheme="minorHAnsi" w:hAnsiTheme="minorHAnsi" w:cstheme="minorHAnsi"/>
                <w:sz w:val="22"/>
                <w:szCs w:val="22"/>
                <w:lang w:eastAsia="en-US"/>
              </w:rPr>
              <w:t>d. obszary wyłączone z rozwoju struktur osadniczych – obszary wyłączone niezbędne dla kształtowania systemu przyrodniczego oraz zapewnienia bezpieczeństwa publicznego.</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635CCC" w14:textId="1825CDD2" w:rsidR="007A386C" w:rsidRPr="009854B7" w:rsidRDefault="00761460" w:rsidP="007A386C">
            <w:pPr>
              <w:rPr>
                <w:rFonts w:asciiTheme="minorHAnsi" w:hAnsiTheme="minorHAnsi" w:cstheme="minorHAnsi"/>
                <w:sz w:val="22"/>
                <w:szCs w:val="22"/>
                <w:lang w:eastAsia="en-US"/>
              </w:rPr>
            </w:pPr>
            <w:r>
              <w:rPr>
                <w:rFonts w:asciiTheme="minorHAnsi" w:hAnsiTheme="minorHAnsi" w:cstheme="minorHAnsi"/>
                <w:sz w:val="22"/>
                <w:szCs w:val="22"/>
                <w:lang w:eastAsia="en-US"/>
              </w:rPr>
              <w:t>Elementy zawarte w uwadze stanowią część celów strategicznych zapisanych w projekcie strategii</w:t>
            </w:r>
          </w:p>
        </w:tc>
      </w:tr>
      <w:tr w:rsidR="007A386C" w:rsidRPr="009854B7" w14:paraId="28CB01FC" w14:textId="77777777" w:rsidTr="007A386C">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E7AD8" w14:textId="3933E433" w:rsidR="007A386C" w:rsidRPr="009854B7" w:rsidRDefault="007A386C" w:rsidP="007A386C">
            <w:pPr>
              <w:rPr>
                <w:rFonts w:asciiTheme="minorHAnsi" w:hAnsiTheme="minorHAnsi" w:cstheme="minorHAnsi"/>
                <w:sz w:val="22"/>
                <w:szCs w:val="22"/>
                <w:lang w:eastAsia="en-US"/>
              </w:rPr>
            </w:pPr>
            <w:r w:rsidRPr="009854B7">
              <w:rPr>
                <w:rFonts w:asciiTheme="minorHAnsi" w:hAnsiTheme="minorHAnsi" w:cstheme="minorHAnsi"/>
                <w:sz w:val="22"/>
                <w:szCs w:val="22"/>
                <w:lang w:eastAsia="en-US"/>
              </w:rPr>
              <w:t>25</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6B9433" w14:textId="224568DB" w:rsidR="007A386C" w:rsidRPr="009854B7" w:rsidRDefault="007A386C" w:rsidP="007A386C">
            <w:pPr>
              <w:rPr>
                <w:rFonts w:asciiTheme="minorHAnsi" w:hAnsiTheme="minorHAnsi" w:cstheme="minorHAnsi"/>
                <w:sz w:val="22"/>
                <w:szCs w:val="22"/>
              </w:rPr>
            </w:pPr>
            <w:r w:rsidRPr="009854B7">
              <w:rPr>
                <w:rFonts w:asciiTheme="minorHAnsi" w:hAnsiTheme="minorHAnsi" w:cstheme="minorHAnsi"/>
                <w:sz w:val="22"/>
                <w:szCs w:val="22"/>
              </w:rPr>
              <w:t xml:space="preserve">Zarząd Województwa Wielkopolskiego </w:t>
            </w:r>
          </w:p>
        </w:tc>
        <w:tc>
          <w:tcPr>
            <w:tcW w:w="72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1394C" w14:textId="502E6DDB" w:rsidR="007A386C" w:rsidRPr="009854B7" w:rsidRDefault="009854B7" w:rsidP="009854B7">
            <w:pPr>
              <w:autoSpaceDE w:val="0"/>
              <w:autoSpaceDN w:val="0"/>
              <w:adjustRightInd w:val="0"/>
              <w:rPr>
                <w:rFonts w:asciiTheme="minorHAnsi" w:eastAsia="Times New Roman" w:hAnsiTheme="minorHAnsi" w:cstheme="minorHAnsi"/>
                <w:sz w:val="22"/>
                <w:szCs w:val="22"/>
              </w:rPr>
            </w:pPr>
            <w:r w:rsidRPr="009854B7">
              <w:rPr>
                <w:rFonts w:asciiTheme="minorHAnsi" w:hAnsiTheme="minorHAnsi" w:cstheme="minorHAnsi"/>
                <w:sz w:val="22"/>
                <w:szCs w:val="22"/>
                <w:lang w:eastAsia="en-US"/>
              </w:rPr>
              <w:t>Należy wykazać spójność celów strategicznych projektu Strategii Rozwoju Gminy Suchy Las na lata 2022-2030 z celami Strategii rozwoju województwa wielkopolskiego do 2030 roku. Zasadne jest wyraźne wykazanie spójności konkretnych celów rozwojowych strategii gminnej z celami określonymi w SRWW 2030.</w:t>
            </w:r>
          </w:p>
        </w:tc>
        <w:tc>
          <w:tcPr>
            <w:tcW w:w="4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A01178" w14:textId="5F253EAB" w:rsidR="007A386C" w:rsidRPr="009854B7" w:rsidRDefault="00F24CE2" w:rsidP="007A386C">
            <w:pPr>
              <w:rPr>
                <w:rFonts w:asciiTheme="minorHAnsi" w:hAnsiTheme="minorHAnsi" w:cstheme="minorHAnsi"/>
                <w:sz w:val="22"/>
                <w:szCs w:val="22"/>
                <w:lang w:eastAsia="en-US"/>
              </w:rPr>
            </w:pPr>
            <w:r>
              <w:rPr>
                <w:rFonts w:asciiTheme="minorHAnsi" w:hAnsiTheme="minorHAnsi" w:cstheme="minorHAnsi"/>
                <w:sz w:val="22"/>
                <w:szCs w:val="22"/>
                <w:lang w:eastAsia="en-US"/>
              </w:rPr>
              <w:t>Uzupełniono opis celów strategicznych i wskazano konkretne cele Strategii rozwoju województwa wielkopolskiego do 2030 roku, które są powiązane z celami strategicznymi Strategii rozwoju gminy Suchy Las</w:t>
            </w:r>
          </w:p>
        </w:tc>
      </w:tr>
    </w:tbl>
    <w:p w14:paraId="14542606" w14:textId="77777777" w:rsidR="00AC2DFA" w:rsidRPr="009854B7" w:rsidRDefault="00AC2DFA">
      <w:pPr>
        <w:rPr>
          <w:rFonts w:asciiTheme="minorHAnsi" w:hAnsiTheme="minorHAnsi" w:cstheme="minorHAnsi"/>
          <w:sz w:val="22"/>
          <w:szCs w:val="22"/>
        </w:rPr>
      </w:pPr>
    </w:p>
    <w:sectPr w:rsidR="00AC2DFA" w:rsidRPr="009854B7" w:rsidSect="00CC1C6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9FE7" w14:textId="77777777" w:rsidR="00127E0E" w:rsidRDefault="00127E0E" w:rsidP="00240146">
      <w:r>
        <w:separator/>
      </w:r>
    </w:p>
  </w:endnote>
  <w:endnote w:type="continuationSeparator" w:id="0">
    <w:p w14:paraId="6DBF6C43" w14:textId="77777777" w:rsidR="00127E0E" w:rsidRDefault="00127E0E" w:rsidP="0024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F54A" w14:textId="77777777" w:rsidR="00127E0E" w:rsidRDefault="00127E0E" w:rsidP="00240146">
      <w:r>
        <w:separator/>
      </w:r>
    </w:p>
  </w:footnote>
  <w:footnote w:type="continuationSeparator" w:id="0">
    <w:p w14:paraId="741BA9FB" w14:textId="77777777" w:rsidR="00127E0E" w:rsidRDefault="00127E0E" w:rsidP="0024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36DF"/>
    <w:multiLevelType w:val="multilevel"/>
    <w:tmpl w:val="6E342A0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FB6674"/>
    <w:multiLevelType w:val="hybridMultilevel"/>
    <w:tmpl w:val="6B5C0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B23742"/>
    <w:multiLevelType w:val="multilevel"/>
    <w:tmpl w:val="4DD44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6C"/>
    <w:rsid w:val="000174ED"/>
    <w:rsid w:val="000A6C5A"/>
    <w:rsid w:val="00101662"/>
    <w:rsid w:val="00127E0E"/>
    <w:rsid w:val="00137335"/>
    <w:rsid w:val="001624B0"/>
    <w:rsid w:val="00183E6F"/>
    <w:rsid w:val="001A1362"/>
    <w:rsid w:val="0021378D"/>
    <w:rsid w:val="00240146"/>
    <w:rsid w:val="00255FF4"/>
    <w:rsid w:val="002B6AF2"/>
    <w:rsid w:val="002E6292"/>
    <w:rsid w:val="002F17C3"/>
    <w:rsid w:val="002F1DDC"/>
    <w:rsid w:val="00327C4A"/>
    <w:rsid w:val="003555C1"/>
    <w:rsid w:val="00411CFC"/>
    <w:rsid w:val="00441F9E"/>
    <w:rsid w:val="00473FDC"/>
    <w:rsid w:val="004938D6"/>
    <w:rsid w:val="004A7F71"/>
    <w:rsid w:val="004C5A35"/>
    <w:rsid w:val="004E380B"/>
    <w:rsid w:val="00552659"/>
    <w:rsid w:val="005D0582"/>
    <w:rsid w:val="005E60C7"/>
    <w:rsid w:val="00623D1C"/>
    <w:rsid w:val="00631FF6"/>
    <w:rsid w:val="00652932"/>
    <w:rsid w:val="006A0A3B"/>
    <w:rsid w:val="0070144F"/>
    <w:rsid w:val="00705F9F"/>
    <w:rsid w:val="00713FEE"/>
    <w:rsid w:val="00761460"/>
    <w:rsid w:val="00777EE7"/>
    <w:rsid w:val="00792C9A"/>
    <w:rsid w:val="007A386C"/>
    <w:rsid w:val="00816D5C"/>
    <w:rsid w:val="00881A63"/>
    <w:rsid w:val="00947962"/>
    <w:rsid w:val="009854B7"/>
    <w:rsid w:val="009D101F"/>
    <w:rsid w:val="00AC2DFA"/>
    <w:rsid w:val="00AE45BA"/>
    <w:rsid w:val="00B12EAC"/>
    <w:rsid w:val="00B716BB"/>
    <w:rsid w:val="00C04822"/>
    <w:rsid w:val="00C86FC8"/>
    <w:rsid w:val="00CC1C6C"/>
    <w:rsid w:val="00D33DAA"/>
    <w:rsid w:val="00D45760"/>
    <w:rsid w:val="00DA3C5F"/>
    <w:rsid w:val="00DD5217"/>
    <w:rsid w:val="00DE5194"/>
    <w:rsid w:val="00E1146D"/>
    <w:rsid w:val="00E2069B"/>
    <w:rsid w:val="00E36DBA"/>
    <w:rsid w:val="00E557DC"/>
    <w:rsid w:val="00E722D6"/>
    <w:rsid w:val="00E9099F"/>
    <w:rsid w:val="00EA1836"/>
    <w:rsid w:val="00EA349B"/>
    <w:rsid w:val="00F125E4"/>
    <w:rsid w:val="00F24CE2"/>
    <w:rsid w:val="00F31F43"/>
    <w:rsid w:val="00F3623A"/>
    <w:rsid w:val="00F36C06"/>
    <w:rsid w:val="00F508DC"/>
    <w:rsid w:val="00F5241E"/>
    <w:rsid w:val="00F6643E"/>
    <w:rsid w:val="00FA3D96"/>
    <w:rsid w:val="00FB0997"/>
    <w:rsid w:val="00FB7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AA04"/>
  <w15:chartTrackingRefBased/>
  <w15:docId w15:val="{CD70B322-B8D1-42C5-A85F-47164DD7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1C6C"/>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2069B"/>
    <w:pPr>
      <w:spacing w:before="100" w:beforeAutospacing="1" w:after="100" w:afterAutospacing="1"/>
    </w:pPr>
    <w:rPr>
      <w:rFonts w:ascii="Calibri" w:hAnsi="Calibri" w:cs="Calibri"/>
      <w:sz w:val="22"/>
      <w:szCs w:val="22"/>
    </w:rPr>
  </w:style>
  <w:style w:type="paragraph" w:customStyle="1" w:styleId="Default">
    <w:name w:val="Default"/>
    <w:rsid w:val="00FB09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A386C"/>
    <w:pPr>
      <w:ind w:left="720"/>
      <w:contextualSpacing/>
    </w:pPr>
  </w:style>
  <w:style w:type="paragraph" w:styleId="Tekstprzypisukocowego">
    <w:name w:val="endnote text"/>
    <w:basedOn w:val="Normalny"/>
    <w:link w:val="TekstprzypisukocowegoZnak"/>
    <w:uiPriority w:val="99"/>
    <w:semiHidden/>
    <w:unhideWhenUsed/>
    <w:rsid w:val="00240146"/>
    <w:rPr>
      <w:sz w:val="20"/>
      <w:szCs w:val="20"/>
    </w:rPr>
  </w:style>
  <w:style w:type="character" w:customStyle="1" w:styleId="TekstprzypisukocowegoZnak">
    <w:name w:val="Tekst przypisu końcowego Znak"/>
    <w:basedOn w:val="Domylnaczcionkaakapitu"/>
    <w:link w:val="Tekstprzypisukocowego"/>
    <w:uiPriority w:val="99"/>
    <w:semiHidden/>
    <w:rsid w:val="00240146"/>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401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448">
      <w:bodyDiv w:val="1"/>
      <w:marLeft w:val="0"/>
      <w:marRight w:val="0"/>
      <w:marTop w:val="0"/>
      <w:marBottom w:val="0"/>
      <w:divBdr>
        <w:top w:val="none" w:sz="0" w:space="0" w:color="auto"/>
        <w:left w:val="none" w:sz="0" w:space="0" w:color="auto"/>
        <w:bottom w:val="none" w:sz="0" w:space="0" w:color="auto"/>
        <w:right w:val="none" w:sz="0" w:space="0" w:color="auto"/>
      </w:divBdr>
    </w:div>
    <w:div w:id="117379317">
      <w:bodyDiv w:val="1"/>
      <w:marLeft w:val="0"/>
      <w:marRight w:val="0"/>
      <w:marTop w:val="0"/>
      <w:marBottom w:val="0"/>
      <w:divBdr>
        <w:top w:val="none" w:sz="0" w:space="0" w:color="auto"/>
        <w:left w:val="none" w:sz="0" w:space="0" w:color="auto"/>
        <w:bottom w:val="none" w:sz="0" w:space="0" w:color="auto"/>
        <w:right w:val="none" w:sz="0" w:space="0" w:color="auto"/>
      </w:divBdr>
    </w:div>
    <w:div w:id="138229587">
      <w:bodyDiv w:val="1"/>
      <w:marLeft w:val="0"/>
      <w:marRight w:val="0"/>
      <w:marTop w:val="0"/>
      <w:marBottom w:val="0"/>
      <w:divBdr>
        <w:top w:val="none" w:sz="0" w:space="0" w:color="auto"/>
        <w:left w:val="none" w:sz="0" w:space="0" w:color="auto"/>
        <w:bottom w:val="none" w:sz="0" w:space="0" w:color="auto"/>
        <w:right w:val="none" w:sz="0" w:space="0" w:color="auto"/>
      </w:divBdr>
    </w:div>
    <w:div w:id="149755578">
      <w:bodyDiv w:val="1"/>
      <w:marLeft w:val="0"/>
      <w:marRight w:val="0"/>
      <w:marTop w:val="0"/>
      <w:marBottom w:val="0"/>
      <w:divBdr>
        <w:top w:val="none" w:sz="0" w:space="0" w:color="auto"/>
        <w:left w:val="none" w:sz="0" w:space="0" w:color="auto"/>
        <w:bottom w:val="none" w:sz="0" w:space="0" w:color="auto"/>
        <w:right w:val="none" w:sz="0" w:space="0" w:color="auto"/>
      </w:divBdr>
    </w:div>
    <w:div w:id="193470261">
      <w:bodyDiv w:val="1"/>
      <w:marLeft w:val="0"/>
      <w:marRight w:val="0"/>
      <w:marTop w:val="0"/>
      <w:marBottom w:val="0"/>
      <w:divBdr>
        <w:top w:val="none" w:sz="0" w:space="0" w:color="auto"/>
        <w:left w:val="none" w:sz="0" w:space="0" w:color="auto"/>
        <w:bottom w:val="none" w:sz="0" w:space="0" w:color="auto"/>
        <w:right w:val="none" w:sz="0" w:space="0" w:color="auto"/>
      </w:divBdr>
    </w:div>
    <w:div w:id="476844838">
      <w:bodyDiv w:val="1"/>
      <w:marLeft w:val="0"/>
      <w:marRight w:val="0"/>
      <w:marTop w:val="0"/>
      <w:marBottom w:val="0"/>
      <w:divBdr>
        <w:top w:val="none" w:sz="0" w:space="0" w:color="auto"/>
        <w:left w:val="none" w:sz="0" w:space="0" w:color="auto"/>
        <w:bottom w:val="none" w:sz="0" w:space="0" w:color="auto"/>
        <w:right w:val="none" w:sz="0" w:space="0" w:color="auto"/>
      </w:divBdr>
    </w:div>
    <w:div w:id="491990038">
      <w:bodyDiv w:val="1"/>
      <w:marLeft w:val="0"/>
      <w:marRight w:val="0"/>
      <w:marTop w:val="0"/>
      <w:marBottom w:val="0"/>
      <w:divBdr>
        <w:top w:val="none" w:sz="0" w:space="0" w:color="auto"/>
        <w:left w:val="none" w:sz="0" w:space="0" w:color="auto"/>
        <w:bottom w:val="none" w:sz="0" w:space="0" w:color="auto"/>
        <w:right w:val="none" w:sz="0" w:space="0" w:color="auto"/>
      </w:divBdr>
    </w:div>
    <w:div w:id="553811287">
      <w:bodyDiv w:val="1"/>
      <w:marLeft w:val="0"/>
      <w:marRight w:val="0"/>
      <w:marTop w:val="0"/>
      <w:marBottom w:val="0"/>
      <w:divBdr>
        <w:top w:val="none" w:sz="0" w:space="0" w:color="auto"/>
        <w:left w:val="none" w:sz="0" w:space="0" w:color="auto"/>
        <w:bottom w:val="none" w:sz="0" w:space="0" w:color="auto"/>
        <w:right w:val="none" w:sz="0" w:space="0" w:color="auto"/>
      </w:divBdr>
    </w:div>
    <w:div w:id="690107291">
      <w:bodyDiv w:val="1"/>
      <w:marLeft w:val="0"/>
      <w:marRight w:val="0"/>
      <w:marTop w:val="0"/>
      <w:marBottom w:val="0"/>
      <w:divBdr>
        <w:top w:val="none" w:sz="0" w:space="0" w:color="auto"/>
        <w:left w:val="none" w:sz="0" w:space="0" w:color="auto"/>
        <w:bottom w:val="none" w:sz="0" w:space="0" w:color="auto"/>
        <w:right w:val="none" w:sz="0" w:space="0" w:color="auto"/>
      </w:divBdr>
    </w:div>
    <w:div w:id="690451031">
      <w:bodyDiv w:val="1"/>
      <w:marLeft w:val="0"/>
      <w:marRight w:val="0"/>
      <w:marTop w:val="0"/>
      <w:marBottom w:val="0"/>
      <w:divBdr>
        <w:top w:val="none" w:sz="0" w:space="0" w:color="auto"/>
        <w:left w:val="none" w:sz="0" w:space="0" w:color="auto"/>
        <w:bottom w:val="none" w:sz="0" w:space="0" w:color="auto"/>
        <w:right w:val="none" w:sz="0" w:space="0" w:color="auto"/>
      </w:divBdr>
    </w:div>
    <w:div w:id="715668374">
      <w:bodyDiv w:val="1"/>
      <w:marLeft w:val="0"/>
      <w:marRight w:val="0"/>
      <w:marTop w:val="0"/>
      <w:marBottom w:val="0"/>
      <w:divBdr>
        <w:top w:val="none" w:sz="0" w:space="0" w:color="auto"/>
        <w:left w:val="none" w:sz="0" w:space="0" w:color="auto"/>
        <w:bottom w:val="none" w:sz="0" w:space="0" w:color="auto"/>
        <w:right w:val="none" w:sz="0" w:space="0" w:color="auto"/>
      </w:divBdr>
    </w:div>
    <w:div w:id="796487125">
      <w:bodyDiv w:val="1"/>
      <w:marLeft w:val="0"/>
      <w:marRight w:val="0"/>
      <w:marTop w:val="0"/>
      <w:marBottom w:val="0"/>
      <w:divBdr>
        <w:top w:val="none" w:sz="0" w:space="0" w:color="auto"/>
        <w:left w:val="none" w:sz="0" w:space="0" w:color="auto"/>
        <w:bottom w:val="none" w:sz="0" w:space="0" w:color="auto"/>
        <w:right w:val="none" w:sz="0" w:space="0" w:color="auto"/>
      </w:divBdr>
    </w:div>
    <w:div w:id="813987929">
      <w:bodyDiv w:val="1"/>
      <w:marLeft w:val="0"/>
      <w:marRight w:val="0"/>
      <w:marTop w:val="0"/>
      <w:marBottom w:val="0"/>
      <w:divBdr>
        <w:top w:val="none" w:sz="0" w:space="0" w:color="auto"/>
        <w:left w:val="none" w:sz="0" w:space="0" w:color="auto"/>
        <w:bottom w:val="none" w:sz="0" w:space="0" w:color="auto"/>
        <w:right w:val="none" w:sz="0" w:space="0" w:color="auto"/>
      </w:divBdr>
    </w:div>
    <w:div w:id="907229043">
      <w:bodyDiv w:val="1"/>
      <w:marLeft w:val="0"/>
      <w:marRight w:val="0"/>
      <w:marTop w:val="0"/>
      <w:marBottom w:val="0"/>
      <w:divBdr>
        <w:top w:val="none" w:sz="0" w:space="0" w:color="auto"/>
        <w:left w:val="none" w:sz="0" w:space="0" w:color="auto"/>
        <w:bottom w:val="none" w:sz="0" w:space="0" w:color="auto"/>
        <w:right w:val="none" w:sz="0" w:space="0" w:color="auto"/>
      </w:divBdr>
    </w:div>
    <w:div w:id="1045301290">
      <w:bodyDiv w:val="1"/>
      <w:marLeft w:val="0"/>
      <w:marRight w:val="0"/>
      <w:marTop w:val="0"/>
      <w:marBottom w:val="0"/>
      <w:divBdr>
        <w:top w:val="none" w:sz="0" w:space="0" w:color="auto"/>
        <w:left w:val="none" w:sz="0" w:space="0" w:color="auto"/>
        <w:bottom w:val="none" w:sz="0" w:space="0" w:color="auto"/>
        <w:right w:val="none" w:sz="0" w:space="0" w:color="auto"/>
      </w:divBdr>
    </w:div>
    <w:div w:id="1049038542">
      <w:bodyDiv w:val="1"/>
      <w:marLeft w:val="0"/>
      <w:marRight w:val="0"/>
      <w:marTop w:val="0"/>
      <w:marBottom w:val="0"/>
      <w:divBdr>
        <w:top w:val="none" w:sz="0" w:space="0" w:color="auto"/>
        <w:left w:val="none" w:sz="0" w:space="0" w:color="auto"/>
        <w:bottom w:val="none" w:sz="0" w:space="0" w:color="auto"/>
        <w:right w:val="none" w:sz="0" w:space="0" w:color="auto"/>
      </w:divBdr>
    </w:div>
    <w:div w:id="1121611813">
      <w:bodyDiv w:val="1"/>
      <w:marLeft w:val="0"/>
      <w:marRight w:val="0"/>
      <w:marTop w:val="0"/>
      <w:marBottom w:val="0"/>
      <w:divBdr>
        <w:top w:val="none" w:sz="0" w:space="0" w:color="auto"/>
        <w:left w:val="none" w:sz="0" w:space="0" w:color="auto"/>
        <w:bottom w:val="none" w:sz="0" w:space="0" w:color="auto"/>
        <w:right w:val="none" w:sz="0" w:space="0" w:color="auto"/>
      </w:divBdr>
    </w:div>
    <w:div w:id="1184245716">
      <w:bodyDiv w:val="1"/>
      <w:marLeft w:val="0"/>
      <w:marRight w:val="0"/>
      <w:marTop w:val="0"/>
      <w:marBottom w:val="0"/>
      <w:divBdr>
        <w:top w:val="none" w:sz="0" w:space="0" w:color="auto"/>
        <w:left w:val="none" w:sz="0" w:space="0" w:color="auto"/>
        <w:bottom w:val="none" w:sz="0" w:space="0" w:color="auto"/>
        <w:right w:val="none" w:sz="0" w:space="0" w:color="auto"/>
      </w:divBdr>
    </w:div>
    <w:div w:id="1195921436">
      <w:bodyDiv w:val="1"/>
      <w:marLeft w:val="0"/>
      <w:marRight w:val="0"/>
      <w:marTop w:val="0"/>
      <w:marBottom w:val="0"/>
      <w:divBdr>
        <w:top w:val="none" w:sz="0" w:space="0" w:color="auto"/>
        <w:left w:val="none" w:sz="0" w:space="0" w:color="auto"/>
        <w:bottom w:val="none" w:sz="0" w:space="0" w:color="auto"/>
        <w:right w:val="none" w:sz="0" w:space="0" w:color="auto"/>
      </w:divBdr>
    </w:div>
    <w:div w:id="1231691988">
      <w:bodyDiv w:val="1"/>
      <w:marLeft w:val="0"/>
      <w:marRight w:val="0"/>
      <w:marTop w:val="0"/>
      <w:marBottom w:val="0"/>
      <w:divBdr>
        <w:top w:val="none" w:sz="0" w:space="0" w:color="auto"/>
        <w:left w:val="none" w:sz="0" w:space="0" w:color="auto"/>
        <w:bottom w:val="none" w:sz="0" w:space="0" w:color="auto"/>
        <w:right w:val="none" w:sz="0" w:space="0" w:color="auto"/>
      </w:divBdr>
    </w:div>
    <w:div w:id="1245341630">
      <w:bodyDiv w:val="1"/>
      <w:marLeft w:val="0"/>
      <w:marRight w:val="0"/>
      <w:marTop w:val="0"/>
      <w:marBottom w:val="0"/>
      <w:divBdr>
        <w:top w:val="none" w:sz="0" w:space="0" w:color="auto"/>
        <w:left w:val="none" w:sz="0" w:space="0" w:color="auto"/>
        <w:bottom w:val="none" w:sz="0" w:space="0" w:color="auto"/>
        <w:right w:val="none" w:sz="0" w:space="0" w:color="auto"/>
      </w:divBdr>
    </w:div>
    <w:div w:id="1274633608">
      <w:bodyDiv w:val="1"/>
      <w:marLeft w:val="0"/>
      <w:marRight w:val="0"/>
      <w:marTop w:val="0"/>
      <w:marBottom w:val="0"/>
      <w:divBdr>
        <w:top w:val="none" w:sz="0" w:space="0" w:color="auto"/>
        <w:left w:val="none" w:sz="0" w:space="0" w:color="auto"/>
        <w:bottom w:val="none" w:sz="0" w:space="0" w:color="auto"/>
        <w:right w:val="none" w:sz="0" w:space="0" w:color="auto"/>
      </w:divBdr>
    </w:div>
    <w:div w:id="1345092480">
      <w:bodyDiv w:val="1"/>
      <w:marLeft w:val="0"/>
      <w:marRight w:val="0"/>
      <w:marTop w:val="0"/>
      <w:marBottom w:val="0"/>
      <w:divBdr>
        <w:top w:val="none" w:sz="0" w:space="0" w:color="auto"/>
        <w:left w:val="none" w:sz="0" w:space="0" w:color="auto"/>
        <w:bottom w:val="none" w:sz="0" w:space="0" w:color="auto"/>
        <w:right w:val="none" w:sz="0" w:space="0" w:color="auto"/>
      </w:divBdr>
    </w:div>
    <w:div w:id="1433936767">
      <w:bodyDiv w:val="1"/>
      <w:marLeft w:val="0"/>
      <w:marRight w:val="0"/>
      <w:marTop w:val="0"/>
      <w:marBottom w:val="0"/>
      <w:divBdr>
        <w:top w:val="none" w:sz="0" w:space="0" w:color="auto"/>
        <w:left w:val="none" w:sz="0" w:space="0" w:color="auto"/>
        <w:bottom w:val="none" w:sz="0" w:space="0" w:color="auto"/>
        <w:right w:val="none" w:sz="0" w:space="0" w:color="auto"/>
      </w:divBdr>
    </w:div>
    <w:div w:id="1499268796">
      <w:bodyDiv w:val="1"/>
      <w:marLeft w:val="0"/>
      <w:marRight w:val="0"/>
      <w:marTop w:val="0"/>
      <w:marBottom w:val="0"/>
      <w:divBdr>
        <w:top w:val="none" w:sz="0" w:space="0" w:color="auto"/>
        <w:left w:val="none" w:sz="0" w:space="0" w:color="auto"/>
        <w:bottom w:val="none" w:sz="0" w:space="0" w:color="auto"/>
        <w:right w:val="none" w:sz="0" w:space="0" w:color="auto"/>
      </w:divBdr>
    </w:div>
    <w:div w:id="1681589606">
      <w:bodyDiv w:val="1"/>
      <w:marLeft w:val="0"/>
      <w:marRight w:val="0"/>
      <w:marTop w:val="0"/>
      <w:marBottom w:val="0"/>
      <w:divBdr>
        <w:top w:val="none" w:sz="0" w:space="0" w:color="auto"/>
        <w:left w:val="none" w:sz="0" w:space="0" w:color="auto"/>
        <w:bottom w:val="none" w:sz="0" w:space="0" w:color="auto"/>
        <w:right w:val="none" w:sz="0" w:space="0" w:color="auto"/>
      </w:divBdr>
    </w:div>
    <w:div w:id="1750731699">
      <w:bodyDiv w:val="1"/>
      <w:marLeft w:val="0"/>
      <w:marRight w:val="0"/>
      <w:marTop w:val="0"/>
      <w:marBottom w:val="0"/>
      <w:divBdr>
        <w:top w:val="none" w:sz="0" w:space="0" w:color="auto"/>
        <w:left w:val="none" w:sz="0" w:space="0" w:color="auto"/>
        <w:bottom w:val="none" w:sz="0" w:space="0" w:color="auto"/>
        <w:right w:val="none" w:sz="0" w:space="0" w:color="auto"/>
      </w:divBdr>
    </w:div>
    <w:div w:id="1813668397">
      <w:bodyDiv w:val="1"/>
      <w:marLeft w:val="0"/>
      <w:marRight w:val="0"/>
      <w:marTop w:val="0"/>
      <w:marBottom w:val="0"/>
      <w:divBdr>
        <w:top w:val="none" w:sz="0" w:space="0" w:color="auto"/>
        <w:left w:val="none" w:sz="0" w:space="0" w:color="auto"/>
        <w:bottom w:val="none" w:sz="0" w:space="0" w:color="auto"/>
        <w:right w:val="none" w:sz="0" w:space="0" w:color="auto"/>
      </w:divBdr>
    </w:div>
    <w:div w:id="1819809995">
      <w:bodyDiv w:val="1"/>
      <w:marLeft w:val="0"/>
      <w:marRight w:val="0"/>
      <w:marTop w:val="0"/>
      <w:marBottom w:val="0"/>
      <w:divBdr>
        <w:top w:val="none" w:sz="0" w:space="0" w:color="auto"/>
        <w:left w:val="none" w:sz="0" w:space="0" w:color="auto"/>
        <w:bottom w:val="none" w:sz="0" w:space="0" w:color="auto"/>
        <w:right w:val="none" w:sz="0" w:space="0" w:color="auto"/>
      </w:divBdr>
    </w:div>
    <w:div w:id="1995143080">
      <w:bodyDiv w:val="1"/>
      <w:marLeft w:val="0"/>
      <w:marRight w:val="0"/>
      <w:marTop w:val="0"/>
      <w:marBottom w:val="0"/>
      <w:divBdr>
        <w:top w:val="none" w:sz="0" w:space="0" w:color="auto"/>
        <w:left w:val="none" w:sz="0" w:space="0" w:color="auto"/>
        <w:bottom w:val="none" w:sz="0" w:space="0" w:color="auto"/>
        <w:right w:val="none" w:sz="0" w:space="0" w:color="auto"/>
      </w:divBdr>
    </w:div>
    <w:div w:id="20396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5382</Words>
  <Characters>32296</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Andrzejewski</dc:creator>
  <cp:keywords/>
  <dc:description/>
  <cp:lastModifiedBy>Paweł Andrzejewski</cp:lastModifiedBy>
  <cp:revision>2</cp:revision>
  <dcterms:created xsi:type="dcterms:W3CDTF">2022-01-26T08:36:00Z</dcterms:created>
  <dcterms:modified xsi:type="dcterms:W3CDTF">2022-01-26T08:36:00Z</dcterms:modified>
</cp:coreProperties>
</file>