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53F69C92" w:rsidR="00336B39" w:rsidRPr="00336B39" w:rsidRDefault="00336B39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(dokument składany na wezwanie)</w:t>
      </w:r>
    </w:p>
    <w:p w14:paraId="39679AB0" w14:textId="5C969F48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67E2F" w:rsidRPr="00867E2F">
        <w:rPr>
          <w:rFonts w:ascii="Cambria" w:hAnsi="Cambria"/>
          <w:spacing w:val="4"/>
        </w:rPr>
        <w:t>Wymiana piecy węglowych na piece gazowe w gminie Suchy Las</w:t>
      </w:r>
    </w:p>
    <w:p w14:paraId="4F0CE306" w14:textId="0AAB29B0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AD6A6E">
        <w:rPr>
          <w:rFonts w:ascii="Cambria" w:hAnsi="Cambria"/>
        </w:rPr>
        <w:t>1</w:t>
      </w:r>
      <w:r w:rsidR="00336B39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336B39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3</cp:revision>
  <cp:lastPrinted>2019-02-01T07:28:00Z</cp:lastPrinted>
  <dcterms:created xsi:type="dcterms:W3CDTF">2021-10-13T11:42:00Z</dcterms:created>
  <dcterms:modified xsi:type="dcterms:W3CDTF">2022-05-25T11:55:00Z</dcterms:modified>
</cp:coreProperties>
</file>